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90523">
      <w:pPr>
        <w:rPr>
          <w:sz w:val="84"/>
        </w:rPr>
      </w:pPr>
    </w:p>
    <w:p w14:paraId="076C0B13">
      <w:pPr>
        <w:ind w:right="105"/>
        <w:jc w:val="right"/>
        <w:rPr>
          <w:rFonts w:ascii="黑体" w:hAnsi="黑体" w:eastAsia="黑体"/>
          <w:b/>
          <w:color w:val="333399"/>
          <w:spacing w:val="40"/>
          <w:w w:val="66"/>
          <w:sz w:val="60"/>
          <w:szCs w:val="60"/>
        </w:rPr>
      </w:pPr>
      <w:r>
        <w:rPr>
          <w:rFonts w:ascii="黑体" w:hAnsi="黑体" w:eastAsia="黑体"/>
          <w:b/>
          <w:color w:val="333399"/>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267970</wp:posOffset>
                </wp:positionH>
                <wp:positionV relativeFrom="paragraph">
                  <wp:posOffset>800100</wp:posOffset>
                </wp:positionV>
                <wp:extent cx="1026160" cy="1270"/>
                <wp:effectExtent l="0" t="95250" r="2540" b="11303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026160" cy="1270"/>
                        </a:xfrm>
                        <a:prstGeom prst="line">
                          <a:avLst/>
                        </a:prstGeom>
                        <a:noFill/>
                        <a:ln w="190500">
                          <a:solidFill>
                            <a:srgbClr val="4B69B5"/>
                          </a:solidFill>
                          <a:round/>
                        </a:ln>
                        <a:effectLst/>
                      </wps:spPr>
                      <wps:bodyPr/>
                    </wps:wsp>
                  </a:graphicData>
                </a:graphic>
              </wp:anchor>
            </w:drawing>
          </mc:Choice>
          <mc:Fallback>
            <w:pict>
              <v:line id="_x0000_s1026" o:spid="_x0000_s1026" o:spt="20" style="position:absolute;left:0pt;margin-left:21.1pt;margin-top:63pt;height:0.1pt;width:80.8pt;z-index:251659264;mso-width-relative:page;mso-height-relative:page;" filled="f" stroked="t" coordsize="21600,21600" o:gfxdata="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rRSNUAAAAKAQAADwAAAAAAAAABACAAAAAiAAAAZHJzL2Rvd25yZXYueG1sUEsBAhQAFAAA&#10;AAgAh07iQJgjBzbyAQAAvQMAAA4AAAAAAAAAAQAgAAAAJAEAAGRycy9lMm9Eb2MueG1sUEsFBgAA&#10;AAAGAAYAWQEAAIgFAAAAAA==&#10;">
                <v:fill on="f" focussize="0,0"/>
                <v:stroke weight="15pt" color="#4B69B5" joinstyle="round"/>
                <v:imagedata o:title=""/>
                <o:lock v:ext="edit" aspectratio="f"/>
              </v:line>
            </w:pict>
          </mc:Fallback>
        </mc:AlternateContent>
      </w:r>
      <w:r>
        <w:rPr>
          <w:rFonts w:hint="eastAsia" w:ascii="黑体" w:hAnsi="黑体" w:eastAsia="黑体"/>
          <w:b/>
          <w:color w:val="333399"/>
          <w:spacing w:val="40"/>
          <w:w w:val="66"/>
          <w:sz w:val="60"/>
          <w:szCs w:val="60"/>
        </w:rPr>
        <w:t>天津市滨海新区全民健身活动中心第一分中心采购物业</w:t>
      </w:r>
      <w:r>
        <w:rPr>
          <w:rFonts w:ascii="黑体" w:hAnsi="黑体" w:eastAsia="黑体"/>
          <w:b/>
          <w:color w:val="333399"/>
          <w:spacing w:val="40"/>
          <w:w w:val="66"/>
          <w:sz w:val="60"/>
          <w:szCs w:val="60"/>
        </w:rPr>
        <w:t>项目招标文件</w:t>
      </w:r>
    </w:p>
    <w:p w14:paraId="7BB90450">
      <w:pPr>
        <w:ind w:right="1025"/>
        <w:jc w:val="center"/>
        <w:rPr>
          <w:rFonts w:ascii="黑体" w:hAnsi="黑体" w:eastAsia="黑体"/>
          <w:b/>
          <w:spacing w:val="40"/>
          <w:w w:val="66"/>
          <w:sz w:val="60"/>
          <w:szCs w:val="60"/>
        </w:rPr>
      </w:pPr>
    </w:p>
    <w:p w14:paraId="728DF6AB">
      <w:pPr>
        <w:jc w:val="center"/>
        <w:rPr>
          <w:rFonts w:ascii="黑体" w:hAnsi="黑体" w:eastAsia="黑体"/>
          <w:b/>
          <w:spacing w:val="40"/>
          <w:w w:val="66"/>
          <w:sz w:val="15"/>
          <w:szCs w:val="15"/>
        </w:rPr>
      </w:pPr>
    </w:p>
    <w:p w14:paraId="2CF314EB">
      <w:pPr>
        <w:jc w:val="center"/>
        <w:rPr>
          <w:rFonts w:ascii="黑体" w:hAnsi="黑体" w:eastAsia="黑体"/>
          <w:b/>
          <w:color w:val="333399"/>
          <w:spacing w:val="40"/>
          <w:w w:val="66"/>
          <w:sz w:val="32"/>
          <w:szCs w:val="32"/>
        </w:rPr>
      </w:pPr>
      <w:r>
        <w:rPr>
          <w:rFonts w:ascii="黑体" w:hAnsi="黑体" w:eastAsia="黑体"/>
          <w:b/>
          <w:color w:val="333399"/>
          <w:spacing w:val="40"/>
          <w:w w:val="66"/>
          <w:sz w:val="32"/>
          <w:szCs w:val="32"/>
        </w:rPr>
        <w:t>（项目编号</w:t>
      </w:r>
      <w:r>
        <w:rPr>
          <w:rFonts w:hint="eastAsia" w:ascii="黑体" w:hAnsi="黑体" w:eastAsia="黑体"/>
          <w:b/>
          <w:color w:val="333399"/>
          <w:spacing w:val="40"/>
          <w:w w:val="66"/>
          <w:sz w:val="32"/>
          <w:szCs w:val="32"/>
          <w:lang w:eastAsia="zh-CN"/>
        </w:rPr>
        <w:t>：TJBH-2024-D-0094</w:t>
      </w:r>
      <w:r>
        <w:rPr>
          <w:rFonts w:ascii="黑体" w:hAnsi="黑体" w:eastAsia="黑体"/>
          <w:b/>
          <w:color w:val="333399"/>
          <w:spacing w:val="40"/>
          <w:w w:val="66"/>
          <w:sz w:val="32"/>
          <w:szCs w:val="32"/>
        </w:rPr>
        <w:t>）</w:t>
      </w:r>
    </w:p>
    <w:p w14:paraId="6D6D0C92">
      <w:pPr>
        <w:rPr>
          <w:rFonts w:ascii="黑体" w:hAnsi="黑体" w:eastAsia="黑体"/>
          <w:b/>
          <w:sz w:val="40"/>
        </w:rPr>
      </w:pPr>
    </w:p>
    <w:p w14:paraId="7592269D">
      <w:pPr>
        <w:rPr>
          <w:rFonts w:ascii="黑体" w:hAnsi="黑体" w:eastAsia="黑体"/>
          <w:b/>
          <w:sz w:val="36"/>
        </w:rPr>
      </w:pPr>
    </w:p>
    <w:p w14:paraId="3D21F56E">
      <w:pPr>
        <w:rPr>
          <w:rFonts w:ascii="黑体" w:hAnsi="黑体" w:eastAsia="黑体"/>
          <w:b/>
          <w:sz w:val="36"/>
        </w:rPr>
      </w:pPr>
    </w:p>
    <w:p w14:paraId="3AB01B46">
      <w:pPr>
        <w:rPr>
          <w:rFonts w:ascii="黑体" w:hAnsi="黑体" w:eastAsia="黑体"/>
          <w:b/>
          <w:sz w:val="36"/>
        </w:rPr>
      </w:pPr>
    </w:p>
    <w:p w14:paraId="5EBC2F5E">
      <w:pPr>
        <w:rPr>
          <w:rFonts w:ascii="黑体" w:hAnsi="黑体" w:eastAsia="黑体"/>
          <w:b/>
          <w:sz w:val="36"/>
        </w:rPr>
      </w:pPr>
    </w:p>
    <w:p w14:paraId="6DB5358F">
      <w:pPr>
        <w:rPr>
          <w:rFonts w:ascii="黑体" w:hAnsi="黑体" w:eastAsia="黑体"/>
          <w:b/>
          <w:sz w:val="36"/>
        </w:rPr>
      </w:pPr>
    </w:p>
    <w:p w14:paraId="287BBB13">
      <w:pPr>
        <w:rPr>
          <w:rFonts w:ascii="黑体" w:hAnsi="黑体" w:eastAsia="黑体"/>
          <w:b/>
          <w:sz w:val="36"/>
        </w:rPr>
      </w:pPr>
    </w:p>
    <w:p w14:paraId="42E6CB65">
      <w:pPr>
        <w:rPr>
          <w:rFonts w:ascii="黑体" w:hAnsi="黑体" w:eastAsia="黑体"/>
          <w:b/>
          <w:sz w:val="36"/>
        </w:rPr>
      </w:pPr>
    </w:p>
    <w:p w14:paraId="7658FD86">
      <w:pPr>
        <w:rPr>
          <w:rFonts w:ascii="黑体" w:hAnsi="黑体" w:eastAsia="黑体"/>
          <w:b/>
          <w:sz w:val="36"/>
        </w:rPr>
      </w:pPr>
    </w:p>
    <w:p w14:paraId="7ED9A3AD">
      <w:pPr>
        <w:jc w:val="center"/>
        <w:rPr>
          <w:rFonts w:ascii="黑体" w:hAnsi="黑体" w:eastAsia="黑体"/>
          <w:b/>
          <w:color w:val="333399"/>
          <w:spacing w:val="20"/>
          <w:w w:val="66"/>
          <w:sz w:val="44"/>
          <w:szCs w:val="44"/>
        </w:rPr>
      </w:pPr>
      <w:r>
        <w:rPr>
          <w:rFonts w:ascii="黑体" w:hAnsi="黑体" w:eastAsia="黑体"/>
          <w:b/>
          <w:color w:val="333399"/>
          <w:spacing w:val="20"/>
          <w:w w:val="66"/>
          <w:sz w:val="44"/>
          <w:szCs w:val="44"/>
        </w:rPr>
        <w:t>天津市</w:t>
      </w:r>
      <w:r>
        <w:rPr>
          <w:rFonts w:hint="eastAsia" w:ascii="黑体" w:hAnsi="黑体" w:eastAsia="黑体"/>
          <w:b/>
          <w:color w:val="333399"/>
          <w:spacing w:val="20"/>
          <w:w w:val="66"/>
          <w:sz w:val="44"/>
          <w:szCs w:val="44"/>
        </w:rPr>
        <w:t>滨海新区</w:t>
      </w:r>
      <w:r>
        <w:rPr>
          <w:rFonts w:ascii="黑体" w:hAnsi="黑体" w:eastAsia="黑体"/>
          <w:b/>
          <w:color w:val="333399"/>
          <w:spacing w:val="20"/>
          <w:w w:val="66"/>
          <w:sz w:val="44"/>
          <w:szCs w:val="44"/>
        </w:rPr>
        <w:t>政府采购中心</w:t>
      </w:r>
    </w:p>
    <w:p w14:paraId="5BD08584">
      <w:pPr>
        <w:tabs>
          <w:tab w:val="left" w:pos="3281"/>
          <w:tab w:val="center" w:pos="4711"/>
        </w:tabs>
        <w:jc w:val="center"/>
        <w:rPr>
          <w:rFonts w:hint="eastAsia" w:ascii="黑体" w:hAnsi="黑体" w:eastAsia="黑体"/>
          <w:b/>
          <w:bCs/>
          <w:color w:val="333399"/>
          <w:kern w:val="0"/>
          <w:sz w:val="44"/>
          <w:szCs w:val="44"/>
          <w:lang w:val="en-US" w:eastAsia="zh-CN"/>
        </w:rPr>
      </w:pPr>
      <w:r>
        <w:rPr>
          <w:rFonts w:ascii="黑体" w:hAnsi="黑体" w:eastAsia="黑体"/>
          <w:b/>
          <w:bCs/>
          <w:color w:val="333399"/>
          <w:kern w:val="0"/>
          <w:sz w:val="44"/>
          <w:szCs w:val="44"/>
        </w:rPr>
        <w:t>202</w:t>
      </w:r>
      <w:r>
        <w:rPr>
          <w:rFonts w:hint="eastAsia" w:ascii="黑体" w:hAnsi="黑体" w:eastAsia="黑体"/>
          <w:b/>
          <w:bCs/>
          <w:color w:val="333399"/>
          <w:kern w:val="0"/>
          <w:sz w:val="44"/>
          <w:szCs w:val="44"/>
        </w:rPr>
        <w:t>4</w:t>
      </w:r>
      <w:r>
        <w:rPr>
          <w:rFonts w:ascii="黑体" w:hAnsi="黑体" w:eastAsia="黑体"/>
          <w:b/>
          <w:bCs/>
          <w:color w:val="333399"/>
          <w:kern w:val="0"/>
          <w:sz w:val="44"/>
          <w:szCs w:val="44"/>
        </w:rPr>
        <w:t>.</w:t>
      </w:r>
      <w:r>
        <w:rPr>
          <w:rFonts w:hint="eastAsia" w:ascii="黑体" w:hAnsi="黑体" w:eastAsia="黑体"/>
          <w:b/>
          <w:bCs/>
          <w:color w:val="333399"/>
          <w:kern w:val="0"/>
          <w:sz w:val="44"/>
          <w:szCs w:val="44"/>
          <w:lang w:val="en-US" w:eastAsia="zh-CN"/>
        </w:rPr>
        <w:t>8</w:t>
      </w:r>
    </w:p>
    <w:p w14:paraId="6D0031E2">
      <w:pPr>
        <w:widowControl/>
        <w:jc w:val="left"/>
        <w:rPr>
          <w:rFonts w:ascii="黑体" w:hAnsi="黑体" w:eastAsia="黑体"/>
          <w:b/>
          <w:bCs/>
          <w:kern w:val="0"/>
          <w:sz w:val="44"/>
          <w:szCs w:val="44"/>
        </w:rPr>
      </w:pPr>
    </w:p>
    <w:p w14:paraId="0E2C33E0">
      <w:pPr>
        <w:ind w:firstLine="408" w:firstLineChars="100"/>
        <w:jc w:val="center"/>
        <w:rPr>
          <w:b/>
          <w:spacing w:val="20"/>
          <w:w w:val="80"/>
          <w:sz w:val="48"/>
          <w:szCs w:val="48"/>
        </w:rPr>
        <w:sectPr>
          <w:pgSz w:w="11906" w:h="16838"/>
          <w:pgMar w:top="1440" w:right="1797" w:bottom="1440" w:left="1797" w:header="851" w:footer="992" w:gutter="0"/>
          <w:pgNumType w:start="1"/>
          <w:cols w:space="425" w:num="1"/>
          <w:docGrid w:type="linesAndChars" w:linePitch="285" w:charSpace="-3449"/>
        </w:sectPr>
      </w:pPr>
    </w:p>
    <w:p w14:paraId="7F474B85">
      <w:pPr>
        <w:ind w:firstLine="408" w:firstLineChars="100"/>
        <w:jc w:val="center"/>
        <w:rPr>
          <w:b/>
          <w:spacing w:val="20"/>
          <w:w w:val="80"/>
          <w:sz w:val="48"/>
          <w:szCs w:val="48"/>
        </w:rPr>
      </w:pPr>
      <w:r>
        <w:rPr>
          <w:rFonts w:hAnsiTheme="minorEastAsia"/>
          <w:b/>
          <w:spacing w:val="20"/>
          <w:w w:val="80"/>
          <w:sz w:val="48"/>
          <w:szCs w:val="48"/>
        </w:rPr>
        <w:t>目录</w:t>
      </w:r>
    </w:p>
    <w:p w14:paraId="41FA65CC">
      <w:pPr>
        <w:spacing w:line="560" w:lineRule="exact"/>
        <w:ind w:right="-141" w:rightChars="-73"/>
        <w:rPr>
          <w:b/>
          <w:sz w:val="24"/>
        </w:rPr>
      </w:pPr>
      <w:r>
        <w:rPr>
          <w:rFonts w:hAnsiTheme="minorEastAsia"/>
          <w:b/>
          <w:sz w:val="24"/>
        </w:rPr>
        <w:t>第一部分投标邀请函</w:t>
      </w:r>
    </w:p>
    <w:p w14:paraId="25C27B90">
      <w:pPr>
        <w:spacing w:line="560" w:lineRule="exact"/>
        <w:ind w:right="-141" w:rightChars="-73"/>
        <w:rPr>
          <w:b/>
          <w:sz w:val="24"/>
        </w:rPr>
      </w:pPr>
    </w:p>
    <w:p w14:paraId="1376FF7F">
      <w:pPr>
        <w:spacing w:line="560" w:lineRule="exact"/>
        <w:ind w:right="-141" w:rightChars="-73"/>
        <w:rPr>
          <w:b/>
          <w:sz w:val="24"/>
        </w:rPr>
      </w:pPr>
      <w:r>
        <w:rPr>
          <w:rFonts w:hAnsiTheme="minorEastAsia"/>
          <w:b/>
          <w:sz w:val="24"/>
        </w:rPr>
        <w:t>第二部分招标项目要求</w:t>
      </w:r>
    </w:p>
    <w:p w14:paraId="6F7A827C">
      <w:pPr>
        <w:spacing w:line="560" w:lineRule="exact"/>
        <w:ind w:right="-141" w:rightChars="-73"/>
        <w:rPr>
          <w:b/>
          <w:sz w:val="24"/>
        </w:rPr>
      </w:pPr>
    </w:p>
    <w:p w14:paraId="3384E903">
      <w:pPr>
        <w:spacing w:line="560" w:lineRule="exact"/>
        <w:ind w:right="-141" w:rightChars="-73"/>
        <w:rPr>
          <w:b/>
          <w:sz w:val="24"/>
        </w:rPr>
      </w:pPr>
      <w:r>
        <w:rPr>
          <w:rFonts w:hAnsiTheme="minorEastAsia"/>
          <w:b/>
          <w:sz w:val="24"/>
        </w:rPr>
        <w:t>第三部分投标须知</w:t>
      </w:r>
    </w:p>
    <w:p w14:paraId="79E5A76A">
      <w:pPr>
        <w:spacing w:line="560" w:lineRule="exact"/>
        <w:ind w:right="-141" w:rightChars="-73"/>
        <w:rPr>
          <w:sz w:val="24"/>
        </w:rPr>
      </w:pPr>
    </w:p>
    <w:p w14:paraId="3055B758">
      <w:pPr>
        <w:spacing w:line="560" w:lineRule="exact"/>
        <w:rPr>
          <w:b/>
          <w:sz w:val="24"/>
        </w:rPr>
      </w:pPr>
      <w:r>
        <w:rPr>
          <w:rFonts w:hAnsiTheme="minorEastAsia"/>
          <w:b/>
          <w:sz w:val="24"/>
        </w:rPr>
        <w:t>第四部分合同条款</w:t>
      </w:r>
    </w:p>
    <w:p w14:paraId="59A91D01">
      <w:pPr>
        <w:spacing w:line="560" w:lineRule="exact"/>
        <w:rPr>
          <w:sz w:val="24"/>
        </w:rPr>
      </w:pPr>
    </w:p>
    <w:p w14:paraId="0208E247">
      <w:pPr>
        <w:spacing w:line="560" w:lineRule="exact"/>
        <w:rPr>
          <w:sz w:val="24"/>
        </w:rPr>
      </w:pPr>
      <w:r>
        <w:rPr>
          <w:rFonts w:hAnsiTheme="minorEastAsia"/>
          <w:b/>
          <w:sz w:val="24"/>
        </w:rPr>
        <w:t>第五部分投标文件格式</w:t>
      </w:r>
    </w:p>
    <w:p w14:paraId="343EB242">
      <w:pPr>
        <w:rPr>
          <w:sz w:val="24"/>
        </w:rPr>
      </w:pPr>
    </w:p>
    <w:p w14:paraId="46E52661">
      <w:pPr>
        <w:rPr>
          <w:sz w:val="24"/>
        </w:rPr>
      </w:pPr>
    </w:p>
    <w:p w14:paraId="5CC2E2C3">
      <w:pPr>
        <w:rPr>
          <w:sz w:val="24"/>
        </w:rPr>
      </w:pPr>
    </w:p>
    <w:p w14:paraId="08845B23">
      <w:pPr>
        <w:rPr>
          <w:sz w:val="24"/>
        </w:rPr>
      </w:pPr>
    </w:p>
    <w:p w14:paraId="54D3733A">
      <w:pPr>
        <w:rPr>
          <w:sz w:val="24"/>
        </w:rPr>
      </w:pPr>
    </w:p>
    <w:p w14:paraId="1C7B750E">
      <w:pPr>
        <w:rPr>
          <w:sz w:val="24"/>
        </w:rPr>
      </w:pPr>
    </w:p>
    <w:p w14:paraId="4FA867B5">
      <w:pPr>
        <w:rPr>
          <w:b/>
        </w:rPr>
      </w:pPr>
    </w:p>
    <w:p w14:paraId="6EF64BCF">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0013155D">
      <w:pPr>
        <w:pStyle w:val="16"/>
        <w:rPr>
          <w:rFonts w:ascii="Times New Roman" w:hAnsi="Times New Roman"/>
        </w:rPr>
      </w:pPr>
      <w:r>
        <w:rPr>
          <w:rFonts w:ascii="Times New Roman" w:hAnsiTheme="minorEastAsia"/>
        </w:rPr>
        <w:t>第一部分投标邀请函</w:t>
      </w:r>
      <w:bookmarkEnd w:id="0"/>
    </w:p>
    <w:p w14:paraId="28C4DF41">
      <w:pPr>
        <w:pStyle w:val="32"/>
        <w:spacing w:line="360" w:lineRule="auto"/>
        <w:ind w:firstLine="448" w:firstLineChars="200"/>
        <w:jc w:val="both"/>
        <w:rPr>
          <w:rFonts w:ascii="Times New Roman" w:hAnsi="Times New Roman" w:eastAsia="宋体" w:cs="Times New Roman"/>
          <w:color w:val="auto"/>
          <w:szCs w:val="32"/>
        </w:rPr>
      </w:pPr>
      <w:r>
        <w:rPr>
          <w:rFonts w:ascii="Times New Roman" w:eastAsia="宋体" w:cs="Times New Roman" w:hAnsiTheme="minorEastAsia"/>
          <w:color w:val="auto"/>
          <w:szCs w:val="32"/>
        </w:rPr>
        <w:t>受</w:t>
      </w:r>
      <w:r>
        <w:rPr>
          <w:rFonts w:hint="eastAsia" w:ascii="Times New Roman" w:eastAsia="宋体" w:cs="Times New Roman" w:hAnsiTheme="minorEastAsia"/>
          <w:color w:val="auto"/>
          <w:szCs w:val="32"/>
        </w:rPr>
        <w:t>天津市滨海新区全民健身活动中心</w:t>
      </w:r>
      <w:r>
        <w:rPr>
          <w:rFonts w:ascii="Times New Roman" w:eastAsia="宋体" w:cs="Times New Roman" w:hAnsiTheme="minorEastAsia"/>
          <w:color w:val="auto"/>
          <w:szCs w:val="32"/>
        </w:rPr>
        <w:t>委托，天津市滨海新区政府采购中心将以公开招标方式，对</w:t>
      </w:r>
      <w:r>
        <w:rPr>
          <w:rFonts w:hint="eastAsia" w:ascii="Times New Roman" w:eastAsia="宋体" w:cs="Times New Roman" w:hAnsiTheme="minorEastAsia"/>
          <w:color w:val="auto"/>
          <w:szCs w:val="32"/>
        </w:rPr>
        <w:t>天津市滨海新区全民健身活动中心第一分中心采购物业项目</w:t>
      </w:r>
      <w:r>
        <w:rPr>
          <w:rFonts w:ascii="Times New Roman" w:eastAsia="宋体" w:cs="Times New Roman" w:hAnsiTheme="minorEastAsia"/>
          <w:color w:val="auto"/>
          <w:szCs w:val="32"/>
        </w:rPr>
        <w:t>实施政府采购。现欢迎合格的供应商参加投标。</w:t>
      </w:r>
    </w:p>
    <w:p w14:paraId="3138923C">
      <w:pPr>
        <w:pStyle w:val="32"/>
        <w:spacing w:line="360" w:lineRule="auto"/>
        <w:ind w:firstLine="448" w:firstLineChars="200"/>
        <w:jc w:val="both"/>
        <w:rPr>
          <w:rFonts w:ascii="Times New Roman" w:hAnsi="Times New Roman" w:eastAsia="宋体" w:cs="Times New Roman"/>
          <w:color w:val="auto"/>
          <w:szCs w:val="32"/>
        </w:rPr>
      </w:pPr>
      <w:r>
        <w:rPr>
          <w:rFonts w:hint="eastAsia" w:ascii="Times New Roman" w:eastAsia="宋体" w:cs="Times New Roman" w:hAnsiTheme="minorEastAsia"/>
          <w:color w:val="auto"/>
          <w:szCs w:val="32"/>
        </w:rPr>
        <w:t>本项目为远程招投标，一律不接受纸质投标文件，只接受加盖投标人电子签章的</w:t>
      </w:r>
      <w:r>
        <w:rPr>
          <w:rFonts w:hint="eastAsia" w:ascii="Times New Roman" w:hAnsi="Times New Roman" w:eastAsia="宋体" w:cs="Times New Roman"/>
          <w:color w:val="auto"/>
          <w:szCs w:val="32"/>
        </w:rPr>
        <w:t>PDF</w:t>
      </w:r>
      <w:r>
        <w:rPr>
          <w:rFonts w:hint="eastAsia" w:ascii="Times New Roman" w:eastAsia="宋体" w:cs="Times New Roman" w:hAnsiTheme="minorEastAsia"/>
          <w:color w:val="auto"/>
          <w:szCs w:val="32"/>
        </w:rPr>
        <w:t>格式电子投标文件（以通过天津公共资源电子签章客户端正确读取签章信息为准）。供应商参加投标前须办理</w:t>
      </w:r>
      <w:r>
        <w:rPr>
          <w:rFonts w:hint="eastAsia" w:ascii="Times New Roman" w:hAnsi="Times New Roman" w:eastAsia="宋体" w:cs="Times New Roman"/>
          <w:color w:val="auto"/>
          <w:szCs w:val="32"/>
        </w:rPr>
        <w:t>CA</w:t>
      </w:r>
      <w:r>
        <w:rPr>
          <w:rFonts w:hint="eastAsia" w:ascii="Times New Roman" w:eastAsia="宋体" w:cs="Times New Roman" w:hAnsiTheme="minorEastAsia"/>
          <w:color w:val="auto"/>
          <w:szCs w:val="32"/>
        </w:rPr>
        <w:t>数字证书（</w:t>
      </w:r>
      <w:r>
        <w:rPr>
          <w:rFonts w:hint="eastAsia" w:ascii="Times New Roman" w:hAnsi="Times New Roman" w:eastAsia="宋体" w:cs="Times New Roman"/>
          <w:color w:val="auto"/>
          <w:szCs w:val="32"/>
        </w:rPr>
        <w:t>USBKey</w:t>
      </w:r>
      <w:r>
        <w:rPr>
          <w:rFonts w:hint="eastAsia" w:ascii="Times New Roman" w:eastAsia="宋体" w:cs="Times New Roman" w:hAnsiTheme="minorEastAsia"/>
          <w:color w:val="auto"/>
          <w:szCs w:val="32"/>
        </w:rPr>
        <w:t>）和电子签章。投标人须按招标文件的规定在天津市政府采购中心招投标系统中提交网上应答并上传加盖投标人电子签章的</w:t>
      </w:r>
      <w:r>
        <w:rPr>
          <w:rFonts w:hint="eastAsia" w:ascii="Times New Roman" w:hAnsi="Times New Roman" w:eastAsia="宋体" w:cs="Times New Roman"/>
          <w:color w:val="auto"/>
          <w:szCs w:val="32"/>
        </w:rPr>
        <w:t>PDF</w:t>
      </w:r>
      <w:r>
        <w:rPr>
          <w:rFonts w:hint="eastAsia" w:ascii="Times New Roman" w:eastAsia="宋体" w:cs="Times New Roman" w:hAnsiTheme="minorEastAsia"/>
          <w:color w:val="auto"/>
          <w:szCs w:val="32"/>
        </w:rPr>
        <w:t>格式电子投标文件（以通过天津公共资源电子签章客户端正确读取签章信息为准）。</w:t>
      </w:r>
    </w:p>
    <w:p w14:paraId="6826E187">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一、项目名称和编号</w:t>
      </w:r>
    </w:p>
    <w:p w14:paraId="7E07D753">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（一）项目名称：</w:t>
      </w:r>
      <w:r>
        <w:rPr>
          <w:rFonts w:hint="eastAsia" w:ascii="Times New Roman" w:eastAsia="宋体" w:cs="Times New Roman" w:hAnsiTheme="minorEastAsia"/>
          <w:color w:val="auto"/>
        </w:rPr>
        <w:t>天津市滨海新区全民健身活动中心第一分中心采购物业项目</w:t>
      </w:r>
    </w:p>
    <w:p w14:paraId="6B1C0C3C">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（二）项目编号：</w:t>
      </w:r>
      <w:r>
        <w:rPr>
          <w:rFonts w:hint="eastAsia" w:ascii="Times New Roman" w:eastAsia="宋体" w:cs="Times New Roman" w:hAnsiTheme="minorEastAsia"/>
          <w:color w:val="auto"/>
        </w:rPr>
        <w:t>TJBH-2024-D-0094</w:t>
      </w:r>
      <w:r>
        <w:rPr>
          <w:rFonts w:hint="eastAsia" w:ascii="Times New Roman" w:hAnsi="Times New Roman" w:eastAsia="宋体" w:cs="Times New Roman"/>
          <w:color w:val="auto"/>
        </w:rPr>
        <w:t xml:space="preserve"> </w:t>
      </w:r>
    </w:p>
    <w:p w14:paraId="34C21351">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二、项目内容</w:t>
      </w:r>
    </w:p>
    <w:p w14:paraId="58F9818C">
      <w:pPr>
        <w:autoSpaceDE w:val="0"/>
        <w:autoSpaceDN w:val="0"/>
        <w:adjustRightInd w:val="0"/>
        <w:spacing w:line="360" w:lineRule="auto"/>
        <w:ind w:firstLine="448" w:firstLineChars="200"/>
        <w:rPr>
          <w:rFonts w:ascii="Times New Roman" w:hAnsi="Times New Roman" w:eastAsia="宋体"/>
          <w:color w:val="auto"/>
          <w:sz w:val="24"/>
          <w:szCs w:val="24"/>
        </w:rPr>
      </w:pPr>
      <w:r>
        <w:rPr>
          <w:rFonts w:hint="eastAsia" w:ascii="Times New Roman" w:eastAsia="宋体" w:hAnsiTheme="minorEastAsia"/>
          <w:color w:val="auto"/>
          <w:sz w:val="24"/>
          <w:szCs w:val="24"/>
        </w:rPr>
        <w:t>第一包：物业管理服务</w:t>
      </w:r>
      <w:r>
        <w:rPr>
          <w:rFonts w:hint="eastAsia" w:ascii="Times New Roman" w:hAnsi="Times New Roman" w:eastAsia="宋体"/>
          <w:color w:val="auto"/>
          <w:sz w:val="24"/>
          <w:szCs w:val="24"/>
        </w:rPr>
        <w:t>1</w:t>
      </w:r>
      <w:r>
        <w:rPr>
          <w:rFonts w:hint="eastAsia" w:ascii="Times New Roman" w:eastAsia="宋体" w:hAnsiTheme="minorEastAsia"/>
          <w:color w:val="auto"/>
          <w:sz w:val="24"/>
          <w:szCs w:val="24"/>
        </w:rPr>
        <w:t>项，合同履行期限</w:t>
      </w:r>
      <w:r>
        <w:rPr>
          <w:rFonts w:hint="eastAsia" w:ascii="Times New Roman" w:eastAsia="宋体" w:hAnsiTheme="minorEastAsia"/>
          <w:color w:val="auto"/>
          <w:sz w:val="24"/>
          <w:szCs w:val="24"/>
          <w:lang w:val="en-US" w:eastAsia="zh-CN"/>
        </w:rPr>
        <w:t>1</w:t>
      </w:r>
      <w:r>
        <w:rPr>
          <w:rFonts w:hint="eastAsia" w:ascii="Times New Roman" w:eastAsia="宋体" w:hAnsiTheme="minorEastAsia"/>
          <w:color w:val="auto"/>
          <w:sz w:val="24"/>
          <w:szCs w:val="24"/>
        </w:rPr>
        <w:t>年</w:t>
      </w:r>
      <w:r>
        <w:rPr>
          <w:rFonts w:hint="eastAsia" w:hAnsiTheme="minorEastAsia"/>
          <w:color w:val="auto"/>
          <w:sz w:val="24"/>
          <w:szCs w:val="24"/>
        </w:rPr>
        <w:t>（特殊情况以合同为准）。</w:t>
      </w:r>
    </w:p>
    <w:p w14:paraId="6F83A42F">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三、项目预算</w:t>
      </w:r>
    </w:p>
    <w:p w14:paraId="067459BF">
      <w:pPr>
        <w:pStyle w:val="32"/>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eastAsia="宋体" w:cs="Times New Roman" w:hAnsiTheme="minorEastAsia"/>
          <w:color w:val="auto"/>
        </w:rPr>
        <w:t>第一包：</w:t>
      </w:r>
      <w:r>
        <w:rPr>
          <w:rFonts w:hint="eastAsia" w:ascii="Times New Roman" w:eastAsia="宋体" w:cs="Times New Roman" w:hAnsiTheme="minorEastAsia"/>
          <w:color w:val="auto"/>
          <w:lang w:val="en-US" w:eastAsia="zh-CN"/>
        </w:rPr>
        <w:t>810680元</w:t>
      </w:r>
    </w:p>
    <w:p w14:paraId="2E81DE41">
      <w:pPr>
        <w:pStyle w:val="32"/>
        <w:spacing w:line="360" w:lineRule="auto"/>
        <w:ind w:firstLine="448" w:firstLineChars="200"/>
        <w:jc w:val="both"/>
        <w:rPr>
          <w:rFonts w:ascii="Times New Roman" w:hAnsi="Times New Roman" w:eastAsia="宋体" w:cs="Times New Roman"/>
          <w:color w:val="auto"/>
        </w:rPr>
      </w:pPr>
      <w:r>
        <w:rPr>
          <w:rFonts w:hint="eastAsia" w:ascii="Times New Roman" w:eastAsia="宋体" w:cs="Times New Roman" w:hAnsiTheme="minorEastAsia"/>
          <w:color w:val="auto"/>
        </w:rPr>
        <w:t>四</w:t>
      </w:r>
      <w:r>
        <w:rPr>
          <w:rFonts w:ascii="Times New Roman" w:eastAsia="宋体" w:cs="Times New Roman" w:hAnsiTheme="minorEastAsia"/>
          <w:color w:val="auto"/>
        </w:rPr>
        <w:t>、供应商资格要求（实质性要求）</w:t>
      </w:r>
    </w:p>
    <w:p w14:paraId="29B753CE">
      <w:pPr>
        <w:pStyle w:val="32"/>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（一）</w:t>
      </w:r>
      <w:r>
        <w:rPr>
          <w:rFonts w:hint="eastAsia" w:ascii="Times New Roman" w:eastAsia="宋体" w:cs="Times New Roman" w:hAnsiTheme="minorEastAsia"/>
          <w:color w:val="auto"/>
        </w:rPr>
        <w:t>供应商应具备独立法人资格。</w:t>
      </w:r>
    </w:p>
    <w:p w14:paraId="10D5B8DC">
      <w:pPr>
        <w:pStyle w:val="32"/>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（二）投标人须具备《中华人民共和国政府采购法》第二十二条第一款规定的条件，提供以下材料：</w:t>
      </w:r>
    </w:p>
    <w:p w14:paraId="7D83E38E">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1. </w:t>
      </w:r>
      <w:r>
        <w:rPr>
          <w:rFonts w:hint="eastAsia" w:ascii="Times New Roman" w:eastAsia="宋体" w:cs="Times New Roman" w:hAnsiTheme="minorEastAsia"/>
          <w:color w:val="auto"/>
        </w:rPr>
        <w:t>营业执照副本或事业单位法人证书或民办非企业单位登记证书或社会团体法人登记证书或基金会法人登记证书扫描件。</w:t>
      </w:r>
    </w:p>
    <w:p w14:paraId="76DEB7A5">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2C4853F9">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 经第三方会计师事务所审计的2023年度财务报告扫描件。</w:t>
      </w:r>
    </w:p>
    <w:p w14:paraId="2D0A55A0">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7AE2849F">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0E387C1B">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3FAB7E8A">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4. </w:t>
      </w:r>
      <w:r>
        <w:rPr>
          <w:rFonts w:hint="eastAsia" w:ascii="Times New Roman" w:eastAsia="宋体" w:cs="Times New Roman" w:hAnsiTheme="minorEastAsia"/>
          <w:color w:val="auto"/>
        </w:rPr>
        <w:t>投标截止日前</w:t>
      </w:r>
      <w:r>
        <w:rPr>
          <w:rFonts w:hint="eastAsia" w:ascii="Times New Roman" w:hAnsi="Times New Roman" w:eastAsia="宋体" w:cs="Times New Roman"/>
          <w:color w:val="auto"/>
        </w:rPr>
        <w:t>3</w:t>
      </w:r>
      <w:r>
        <w:rPr>
          <w:rFonts w:hint="eastAsia" w:ascii="Times New Roman" w:eastAsia="宋体" w:cs="Times New Roman" w:hAnsiTheme="minorEastAsia"/>
          <w:color w:val="auto"/>
        </w:rPr>
        <w:t>年在经营活动中没有重大违法记录的书面声明（截至开标日成立不足</w:t>
      </w:r>
      <w:r>
        <w:rPr>
          <w:rFonts w:hint="eastAsia" w:ascii="Times New Roman" w:hAnsi="Times New Roman" w:eastAsia="宋体" w:cs="Times New Roman"/>
          <w:color w:val="auto"/>
        </w:rPr>
        <w:t>3</w:t>
      </w:r>
      <w:r>
        <w:rPr>
          <w:rFonts w:hint="eastAsia" w:ascii="Times New Roman" w:eastAsia="宋体" w:cs="Times New Roman" w:hAnsiTheme="minorEastAsia"/>
          <w:color w:val="auto"/>
        </w:rPr>
        <w:t>年的供应商可提供自成立以来无重大违法记录的书面声明）。</w:t>
      </w:r>
    </w:p>
    <w:p w14:paraId="5421261D">
      <w:pPr>
        <w:pStyle w:val="32"/>
        <w:spacing w:line="360" w:lineRule="auto"/>
        <w:ind w:firstLine="448" w:firstLineChars="200"/>
        <w:rPr>
          <w:rFonts w:ascii="Times New Roman" w:eastAsia="宋体" w:cs="Times New Roman" w:hAnsiTheme="minorEastAsia"/>
          <w:color w:val="auto"/>
        </w:rPr>
      </w:pPr>
      <w:r>
        <w:rPr>
          <w:rFonts w:hint="eastAsia" w:ascii="Times New Roman" w:eastAsia="宋体" w:cs="Times New Roman" w:hAnsiTheme="minorEastAsia"/>
          <w:color w:val="auto"/>
        </w:rPr>
        <w:t>（三）本项目不接受联合体投标。</w:t>
      </w:r>
    </w:p>
    <w:p w14:paraId="2A8DFE61">
      <w:pPr>
        <w:pStyle w:val="32"/>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（四）本项目专门面向中小企业采购，提供《中小企业声明函》。</w:t>
      </w:r>
    </w:p>
    <w:p w14:paraId="4B2A62EE">
      <w:pPr>
        <w:pStyle w:val="32"/>
        <w:spacing w:line="360" w:lineRule="auto"/>
        <w:ind w:firstLine="448" w:firstLineChars="200"/>
        <w:jc w:val="both"/>
        <w:rPr>
          <w:rFonts w:ascii="Times New Roman" w:hAnsi="Times New Roman" w:eastAsia="宋体" w:cs="Times New Roman"/>
          <w:color w:val="auto"/>
        </w:rPr>
      </w:pPr>
      <w:r>
        <w:rPr>
          <w:rFonts w:hint="eastAsia" w:ascii="Times New Roman" w:eastAsia="宋体" w:cs="Times New Roman" w:hAnsiTheme="minorEastAsia"/>
          <w:color w:val="auto"/>
        </w:rPr>
        <w:t>五</w:t>
      </w:r>
      <w:r>
        <w:rPr>
          <w:rFonts w:ascii="Times New Roman" w:eastAsia="宋体" w:cs="Times New Roman" w:hAnsiTheme="minorEastAsia"/>
          <w:color w:val="auto"/>
        </w:rPr>
        <w:t>、项目需要落实的政府采购政策</w:t>
      </w:r>
    </w:p>
    <w:p w14:paraId="4F44DF07">
      <w:pPr>
        <w:pStyle w:val="32"/>
        <w:spacing w:line="360" w:lineRule="auto"/>
        <w:ind w:firstLine="448" w:firstLineChars="200"/>
        <w:rPr>
          <w:rFonts w:ascii="Times New Roman" w:hAnsi="Times New Roman" w:eastAsia="宋体" w:cs="Times New Roman"/>
          <w:color w:val="auto"/>
        </w:rPr>
      </w:pPr>
      <w:bookmarkStart w:id="1" w:name="OLE_LINK3"/>
      <w:bookmarkStart w:id="2" w:name="OLE_LINK4"/>
      <w:r>
        <w:rPr>
          <w:rFonts w:ascii="Times New Roman" w:eastAsia="宋体" w:cs="Times New Roman" w:hAnsiTheme="minorEastAsia"/>
          <w:color w:val="auto"/>
        </w:rPr>
        <w:t>（一）</w:t>
      </w:r>
      <w:r>
        <w:rPr>
          <w:rFonts w:hint="eastAsia" w:ascii="Times New Roman" w:eastAsia="宋体" w:cs="Times New Roman" w:hAnsiTheme="minorEastAsia"/>
          <w:color w:val="auto"/>
        </w:rPr>
        <w:t>根据《政府采购促进中小企业发展管理办法》（财库</w:t>
      </w:r>
      <w:r>
        <w:rPr>
          <w:rFonts w:hint="eastAsia" w:ascii="Times New Roman" w:hAnsi="Times New Roman" w:eastAsia="宋体" w:cs="Times New Roman"/>
          <w:color w:val="auto"/>
        </w:rPr>
        <w:t>[2020]46</w:t>
      </w:r>
      <w:r>
        <w:rPr>
          <w:rFonts w:hint="eastAsia" w:ascii="Times New Roman" w:eastAsia="宋体" w:cs="Times New Roman" w:hAnsiTheme="minorEastAsia"/>
          <w:color w:val="auto"/>
        </w:rPr>
        <w:t>号）规定</w:t>
      </w:r>
      <w:r>
        <w:rPr>
          <w:rFonts w:ascii="Times New Roman" w:eastAsia="宋体" w:cs="Times New Roman" w:hAnsiTheme="minorEastAsia"/>
          <w:color w:val="auto"/>
        </w:rPr>
        <w:t>，</w:t>
      </w:r>
      <w:r>
        <w:rPr>
          <w:rFonts w:hint="eastAsia" w:ascii="Times New Roman" w:eastAsia="宋体" w:cs="Times New Roman" w:hAnsiTheme="minorEastAsia"/>
          <w:color w:val="auto"/>
        </w:rPr>
        <w:t>本项目专门面向中小企业采购</w:t>
      </w:r>
      <w:r>
        <w:rPr>
          <w:rFonts w:ascii="Times New Roman" w:eastAsia="宋体" w:cs="Times New Roman" w:hAnsiTheme="minorEastAsia"/>
          <w:color w:val="auto"/>
        </w:rPr>
        <w:t>。</w:t>
      </w:r>
    </w:p>
    <w:p w14:paraId="06C0EC8D">
      <w:pPr>
        <w:pStyle w:val="32"/>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（二）根据财政部发布的《关于政府采购支持监狱企业发展有关问题的通知》规定，监狱企业视同小微企业。</w:t>
      </w:r>
    </w:p>
    <w:bookmarkEnd w:id="1"/>
    <w:bookmarkEnd w:id="2"/>
    <w:p w14:paraId="40A94565">
      <w:pPr>
        <w:pStyle w:val="32"/>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（三）</w:t>
      </w:r>
      <w:r>
        <w:rPr>
          <w:rFonts w:ascii="Times New Roman" w:eastAsia="宋体" w:cs="Times New Roman" w:hAnsiTheme="minorEastAsia"/>
          <w:color w:val="auto"/>
        </w:rPr>
        <w:t>根据财政部、民政部、中国残疾人联合会发布的《关于促进残疾人就业政府采购政策的通知》规定，残疾人福利性单位视同小微企业。</w:t>
      </w:r>
    </w:p>
    <w:p w14:paraId="03B8C84A">
      <w:pPr>
        <w:pStyle w:val="32"/>
        <w:spacing w:line="360" w:lineRule="auto"/>
        <w:ind w:firstLine="448" w:firstLineChars="200"/>
        <w:jc w:val="both"/>
        <w:rPr>
          <w:rFonts w:ascii="Times New Roman" w:hAnsi="Times New Roman" w:eastAsia="宋体"/>
          <w:color w:val="auto"/>
        </w:rPr>
      </w:pPr>
      <w:r>
        <w:rPr>
          <w:rFonts w:hint="eastAsia" w:ascii="Times New Roman" w:eastAsia="宋体" w:hAnsiTheme="minor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363A1E69">
      <w:pPr>
        <w:pStyle w:val="32"/>
        <w:spacing w:line="360" w:lineRule="auto"/>
        <w:ind w:firstLine="448" w:firstLineChars="200"/>
        <w:jc w:val="both"/>
        <w:rPr>
          <w:rFonts w:ascii="Times New Roman" w:hAnsi="Times New Roman" w:eastAsia="宋体"/>
          <w:color w:val="auto"/>
        </w:rPr>
      </w:pPr>
      <w:r>
        <w:rPr>
          <w:rFonts w:hint="eastAsia" w:ascii="Times New Roman" w:eastAsia="宋体" w:hAnsiTheme="minorEastAsia"/>
          <w:color w:val="auto"/>
        </w:rPr>
        <w:t>（四）涉及商品包装或快递包装的，按照《财政部办公厅、生态环境部办公厅、国家邮政局办公室关于印发</w:t>
      </w:r>
      <w:r>
        <w:rPr>
          <w:rFonts w:hint="eastAsia" w:ascii="Times New Roman" w:hAnsi="Times New Roman" w:eastAsia="宋体"/>
          <w:color w:val="auto"/>
        </w:rPr>
        <w:t>&lt;</w:t>
      </w:r>
      <w:r>
        <w:rPr>
          <w:rFonts w:hint="eastAsia" w:ascii="Times New Roman" w:eastAsia="宋体" w:hAnsiTheme="minorEastAsia"/>
          <w:color w:val="auto"/>
        </w:rPr>
        <w:t>商品包装政府采购需求标准（试行）</w:t>
      </w:r>
      <w:r>
        <w:rPr>
          <w:rFonts w:hint="eastAsia" w:ascii="Times New Roman" w:hAnsi="Times New Roman" w:eastAsia="宋体"/>
          <w:color w:val="auto"/>
        </w:rPr>
        <w:t>&gt;</w:t>
      </w:r>
      <w:r>
        <w:rPr>
          <w:rFonts w:hint="eastAsia" w:ascii="Times New Roman" w:eastAsia="宋体" w:hAnsiTheme="minorEastAsia"/>
          <w:color w:val="auto"/>
        </w:rPr>
        <w:t>、</w:t>
      </w:r>
      <w:r>
        <w:rPr>
          <w:rFonts w:hint="eastAsia" w:ascii="Times New Roman" w:hAnsi="Times New Roman" w:eastAsia="宋体"/>
          <w:color w:val="auto"/>
        </w:rPr>
        <w:t>&lt;</w:t>
      </w:r>
      <w:r>
        <w:rPr>
          <w:rFonts w:hint="eastAsia" w:ascii="Times New Roman" w:eastAsia="宋体" w:hAnsiTheme="minorEastAsia"/>
          <w:color w:val="auto"/>
        </w:rPr>
        <w:t>快递包装政府采购需求标准（试行）</w:t>
      </w:r>
      <w:r>
        <w:rPr>
          <w:rFonts w:hint="eastAsia" w:ascii="Times New Roman" w:hAnsi="Times New Roman" w:eastAsia="宋体"/>
          <w:color w:val="auto"/>
        </w:rPr>
        <w:t>&gt;</w:t>
      </w:r>
      <w:r>
        <w:rPr>
          <w:rFonts w:hint="eastAsia" w:ascii="Times New Roman" w:eastAsia="宋体" w:hAnsiTheme="minorEastAsia"/>
          <w:color w:val="auto"/>
        </w:rPr>
        <w:t>的通知》（财办库〔</w:t>
      </w:r>
      <w:r>
        <w:rPr>
          <w:rFonts w:hint="eastAsia" w:ascii="Times New Roman" w:hAnsi="Times New Roman" w:eastAsia="宋体"/>
          <w:color w:val="auto"/>
        </w:rPr>
        <w:t>2020</w:t>
      </w:r>
      <w:r>
        <w:rPr>
          <w:rFonts w:hint="eastAsia" w:ascii="Times New Roman" w:eastAsia="宋体" w:hAnsiTheme="minorEastAsia"/>
          <w:color w:val="auto"/>
        </w:rPr>
        <w:t>〕</w:t>
      </w:r>
      <w:r>
        <w:rPr>
          <w:rFonts w:hint="eastAsia" w:ascii="Times New Roman" w:hAnsi="Times New Roman" w:eastAsia="宋体"/>
          <w:color w:val="auto"/>
        </w:rPr>
        <w:t>123</w:t>
      </w:r>
      <w:r>
        <w:rPr>
          <w:rFonts w:hint="eastAsia" w:ascii="Times New Roman" w:eastAsia="宋体" w:hAnsiTheme="minorEastAsia"/>
          <w:color w:val="auto"/>
        </w:rPr>
        <w:t>号）要求执行。</w:t>
      </w:r>
    </w:p>
    <w:p w14:paraId="75969F84">
      <w:pPr>
        <w:pStyle w:val="32"/>
        <w:spacing w:line="360" w:lineRule="auto"/>
        <w:ind w:firstLine="448" w:firstLineChars="200"/>
        <w:rPr>
          <w:rFonts w:ascii="Times New Roman" w:eastAsia="宋体" w:cs="Times New Roman" w:hAnsiTheme="minorEastAsia"/>
          <w:color w:val="auto"/>
        </w:rPr>
      </w:pPr>
      <w:r>
        <w:rPr>
          <w:rFonts w:hint="eastAsia" w:ascii="Times New Roman" w:eastAsia="宋体" w:cs="Times New Roman" w:hAnsiTheme="minorEastAsia"/>
          <w:color w:val="auto"/>
        </w:rPr>
        <w:t>（五）按照《财政部关于在政府采购活动中查询及使用信用记录有关问题的通知》（财库〔</w:t>
      </w:r>
      <w:r>
        <w:rPr>
          <w:rFonts w:hint="eastAsia" w:ascii="Times New Roman" w:hAnsi="Times New Roman" w:eastAsia="宋体" w:cs="Times New Roman"/>
          <w:color w:val="auto"/>
        </w:rPr>
        <w:t>2016</w:t>
      </w:r>
      <w:r>
        <w:rPr>
          <w:rFonts w:hint="eastAsia" w:ascii="Times New Roman" w:eastAsia="宋体" w:cs="Times New Roman" w:hAnsiTheme="minorEastAsia"/>
          <w:color w:val="auto"/>
        </w:rPr>
        <w:t>〕</w:t>
      </w:r>
      <w:r>
        <w:rPr>
          <w:rFonts w:hint="eastAsia" w:ascii="Times New Roman" w:hAnsi="Times New Roman" w:eastAsia="宋体" w:cs="Times New Roman"/>
          <w:color w:val="auto"/>
        </w:rPr>
        <w:t>125</w:t>
      </w:r>
      <w:r>
        <w:rPr>
          <w:rFonts w:hint="eastAsia" w:ascii="Times New Roman" w:eastAsia="宋体" w:cs="Times New Roman" w:hAnsiTheme="minorEastAsia"/>
          <w:color w:val="auto"/>
        </w:rPr>
        <w:t>号）的要求，根据开标当日解密截止时间</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信用中国</w:t>
      </w:r>
      <w:r>
        <w:rPr>
          <w:rFonts w:hint="eastAsia" w:ascii="Times New Roman" w:hAnsi="Times New Roman" w:eastAsia="宋体" w:cs="Times New Roman"/>
          <w:color w:val="auto"/>
        </w:rPr>
        <w:t>”</w:t>
      </w:r>
      <w:r>
        <w:rPr>
          <w:rFonts w:hint="eastAsia" w:ascii="Times New Roman" w:eastAsia="宋体" w:cs="Times New Roman" w:hAnsiTheme="minorEastAsia"/>
          <w:color w:val="auto"/>
        </w:rPr>
        <w:t>网站（</w:t>
      </w:r>
      <w:r>
        <w:fldChar w:fldCharType="begin"/>
      </w:r>
      <w:r>
        <w:instrText xml:space="preserve"> HYPERLINK "http://www.creditchina.gov.cn" </w:instrText>
      </w:r>
      <w:r>
        <w:fldChar w:fldCharType="separate"/>
      </w:r>
      <w:r>
        <w:rPr>
          <w:rStyle w:val="26"/>
          <w:rFonts w:hint="eastAsia" w:ascii="Times New Roman" w:hAnsi="Times New Roman" w:eastAsia="宋体"/>
        </w:rPr>
        <w:t>http://www.creditchina.gov.cn</w:t>
      </w:r>
      <w:r>
        <w:rPr>
          <w:rStyle w:val="26"/>
          <w:rFonts w:hint="eastAsia" w:ascii="Times New Roman" w:hAnsi="Times New Roman" w:eastAsia="宋体"/>
        </w:rPr>
        <w:fldChar w:fldCharType="end"/>
      </w:r>
      <w:r>
        <w:rPr>
          <w:rFonts w:hint="eastAsia" w:ascii="Times New Roman" w:eastAsia="宋体" w:cs="Times New Roman" w:hAnsiTheme="minorEastAsia"/>
          <w:color w:val="auto"/>
        </w:rPr>
        <w:t>）、中国政府采购网（</w:t>
      </w:r>
      <w:r>
        <w:fldChar w:fldCharType="begin"/>
      </w:r>
      <w:r>
        <w:instrText xml:space="preserve"> HYPERLINK "http://www.ccgp.gov.cn/" </w:instrText>
      </w:r>
      <w:r>
        <w:fldChar w:fldCharType="separate"/>
      </w:r>
      <w:r>
        <w:rPr>
          <w:rStyle w:val="26"/>
          <w:rFonts w:ascii="Times New Roman" w:hAnsi="Times New Roman" w:eastAsia="宋体" w:cs="Times New Roman"/>
        </w:rPr>
        <w:t>http://www.ccgp.gov.cn/</w:t>
      </w:r>
      <w:r>
        <w:rPr>
          <w:rStyle w:val="26"/>
          <w:rFonts w:ascii="Times New Roman" w:hAnsi="Times New Roman" w:eastAsia="宋体" w:cs="Times New Roman"/>
        </w:rPr>
        <w:fldChar w:fldCharType="end"/>
      </w:r>
      <w:r>
        <w:rPr>
          <w:rFonts w:hint="eastAsia" w:ascii="Times New Roman" w:eastAsia="宋体" w:cs="Times New Roman" w:hAnsiTheme="minor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14:paraId="10E468D0">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六）参与政府采购活动的中小微企业，在获取政府采购中标（成交）通知书后，可向本市相关金融机构申请“政采贷”融资支持。有融资需求的企业，请于正式签订政府采购合同之前，向相关金融机构联系咨询。注：金融机构相关信息请登录天津市政府采购网政采贷板块（网址：http://tjgp.cz.tj.gov.cn/zcd/zcdList.jsp）了解。</w:t>
      </w:r>
    </w:p>
    <w:p w14:paraId="57237047">
      <w:pPr>
        <w:pStyle w:val="32"/>
        <w:spacing w:line="360" w:lineRule="auto"/>
        <w:ind w:firstLine="448" w:firstLineChars="200"/>
        <w:jc w:val="both"/>
        <w:rPr>
          <w:rFonts w:ascii="Times New Roman" w:hAnsi="Times New Roman" w:eastAsia="宋体" w:cs="Times New Roman"/>
          <w:color w:val="auto"/>
        </w:rPr>
      </w:pPr>
      <w:bookmarkStart w:id="3" w:name="_Toc412903615"/>
      <w:r>
        <w:rPr>
          <w:rFonts w:ascii="Times New Roman" w:hAnsi="Times New Roman" w:eastAsia="宋体" w:cs="Times New Roman"/>
          <w:color w:val="auto"/>
        </w:rPr>
        <w:t>六、获取招标文件时间、方式</w:t>
      </w:r>
    </w:p>
    <w:p w14:paraId="2BAF3C5D">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w:t>
      </w: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8</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29</w:t>
      </w:r>
      <w:r>
        <w:rPr>
          <w:rFonts w:hint="eastAsia"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9</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日</w:t>
      </w:r>
      <w:r>
        <w:rPr>
          <w:rFonts w:hint="eastAsia" w:ascii="Times New Roman" w:hAnsi="Times New Roman" w:eastAsia="宋体" w:cs="Times New Roman"/>
          <w:color w:val="auto"/>
        </w:rPr>
        <w:t>，每日</w:t>
      </w:r>
      <w:r>
        <w:rPr>
          <w:rFonts w:ascii="Times New Roman" w:hAnsi="Times New Roman" w:eastAsia="宋体" w:cs="Times New Roman"/>
          <w:color w:val="auto"/>
        </w:rPr>
        <w:t>9:00</w:t>
      </w:r>
      <w:r>
        <w:rPr>
          <w:rFonts w:hint="eastAsia" w:ascii="Times New Roman" w:hAnsi="Times New Roman" w:eastAsia="宋体" w:cs="Times New Roman"/>
          <w:color w:val="auto"/>
        </w:rPr>
        <w:t>至</w:t>
      </w:r>
      <w:r>
        <w:rPr>
          <w:rFonts w:ascii="Times New Roman" w:hAnsi="Times New Roman" w:eastAsia="宋体"/>
          <w:color w:val="auto"/>
        </w:rPr>
        <w:t>17</w:t>
      </w:r>
      <w:r>
        <w:rPr>
          <w:rFonts w:ascii="Times New Roman" w:hAnsi="Times New Roman" w:eastAsia="宋体"/>
        </w:rPr>
        <w:t>:00</w:t>
      </w:r>
      <w:r>
        <w:rPr>
          <w:rFonts w:hint="eastAsia" w:ascii="Times New Roman" w:hAnsi="Times New Roman" w:eastAsia="宋体"/>
        </w:rPr>
        <w:t>（北京时间，法定节假日除外）。</w:t>
      </w:r>
    </w:p>
    <w:p w14:paraId="3AEBCC06">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42075428">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"http://tjgpc.cz.tj.gov.cn/" </w:instrText>
      </w:r>
      <w:r>
        <w:fldChar w:fldCharType="separate"/>
      </w:r>
      <w:r>
        <w:rPr>
          <w:rStyle w:val="26"/>
          <w:rFonts w:ascii="Times New Roman" w:hAnsi="Times New Roman" w:eastAsia="宋体" w:cs="Times New Roman"/>
        </w:rPr>
        <w:t>http://tjgpc.zwfwb.tj.gov.cn/</w:t>
      </w:r>
      <w:r>
        <w:rPr>
          <w:rStyle w:val="26"/>
          <w:rFonts w:ascii="Times New Roman" w:hAnsi="Times New Roman" w:eastAsia="宋体" w:cs="Times New Roman"/>
        </w:rPr>
        <w:fldChar w:fldCharType="end"/>
      </w:r>
      <w:r>
        <w:rPr>
          <w:rFonts w:hint="eastAsia" w:ascii="Times New Roman" w:hAnsi="Times New Roman" w:eastAsia="宋体" w:cs="Times New Roman"/>
          <w:color w:val="auto"/>
        </w:rPr>
        <w:t>）-“网上招投标”-“供应商登录”-“区级集采机构入口”</w:t>
      </w:r>
      <w:r>
        <w:rPr>
          <w:rFonts w:ascii="Times New Roman" w:hAnsi="Times New Roman" w:eastAsia="宋体" w:cs="Times New Roman"/>
          <w:color w:val="auto"/>
        </w:rPr>
        <w:t>下载招标文件。</w:t>
      </w:r>
    </w:p>
    <w:p w14:paraId="0845B0A3">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供应商注册、CA数字证书（USBKey）领取、电子签章办理办法：</w:t>
      </w:r>
    </w:p>
    <w:p w14:paraId="243DA642">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fldChar w:fldCharType="begin"/>
      </w:r>
      <w:r>
        <w:instrText xml:space="preserve"> HYPERLINK "http://tjgpc.cz.tj.gov.cn/" </w:instrText>
      </w:r>
      <w:r>
        <w:fldChar w:fldCharType="separate"/>
      </w:r>
      <w:r>
        <w:rPr>
          <w:rStyle w:val="26"/>
          <w:rFonts w:ascii="Times New Roman" w:hAnsi="Times New Roman" w:eastAsia="宋体" w:cs="Times New Roman"/>
        </w:rPr>
        <w:t>http://tjgpc.zwfwb.tj.gov.cn/</w:t>
      </w:r>
      <w:r>
        <w:rPr>
          <w:rStyle w:val="26"/>
          <w:rFonts w:ascii="Times New Roman" w:hAnsi="Times New Roman" w:eastAsia="宋体" w:cs="Times New Roman"/>
        </w:rPr>
        <w:fldChar w:fldCharType="end"/>
      </w:r>
      <w:r>
        <w:rPr>
          <w:rFonts w:hint="eastAsia" w:ascii="Times New Roman" w:hAnsi="Times New Roman" w:eastAsia="宋体" w:cs="Times New Roman"/>
          <w:color w:val="auto"/>
        </w:rPr>
        <w:t>）首页点击“供应商注册”，填写相关内容。天津市政府采购中心注册窗口联系电话：022-24538316。</w:t>
      </w:r>
    </w:p>
    <w:p w14:paraId="68E951AB">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（2）CA数字证书（USBKey）领取及电子签章办理：参见天津市政府采购中心网（</w:t>
      </w:r>
      <w:r>
        <w:fldChar w:fldCharType="begin"/>
      </w:r>
      <w:r>
        <w:instrText xml:space="preserve"> HYPERLINK "http://tjgpc.cz.tj.gov.cn/" </w:instrText>
      </w:r>
      <w:r>
        <w:fldChar w:fldCharType="separate"/>
      </w:r>
      <w:r>
        <w:rPr>
          <w:rStyle w:val="26"/>
          <w:rFonts w:ascii="Times New Roman" w:hAnsi="Times New Roman" w:eastAsia="宋体" w:cs="Times New Roman"/>
        </w:rPr>
        <w:t>http://tjgpc.zwfwb.tj.gov.cn/</w:t>
      </w:r>
      <w:r>
        <w:rPr>
          <w:rStyle w:val="26"/>
          <w:rFonts w:ascii="Times New Roman" w:hAnsi="Times New Roman" w:eastAsia="宋体" w:cs="Times New Roman"/>
        </w:rPr>
        <w:fldChar w:fldCharType="end"/>
      </w:r>
      <w:r>
        <w:rPr>
          <w:rFonts w:hint="eastAsia" w:ascii="Times New Roman" w:hAnsi="Times New Roman" w:eastAsia="宋体" w:cs="Times New Roman"/>
          <w:color w:val="auto"/>
        </w:rPr>
        <w:t>）--服务指南--供应商注册、领取CA数字证书（USBKey）及电子签章制章的流程。</w:t>
      </w:r>
    </w:p>
    <w:p w14:paraId="5AFF3C1F">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1BC2EFEC">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电子签章办理联系电话：022-24538316。</w:t>
      </w:r>
    </w:p>
    <w:p w14:paraId="74F95793">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1657A0A9">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2024</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8</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29</w:t>
      </w:r>
      <w:r>
        <w:rPr>
          <w:rFonts w:ascii="Times New Roman" w:hAnsi="Times New Roman" w:eastAsia="宋体" w:cs="Times New Roman"/>
          <w:color w:val="auto"/>
        </w:rPr>
        <w:t>日9:00至</w:t>
      </w:r>
      <w:r>
        <w:rPr>
          <w:rFonts w:hint="eastAsia" w:ascii="Times New Roman" w:hAnsi="Times New Roman" w:eastAsia="宋体" w:cs="Times New Roman"/>
          <w:color w:val="auto"/>
        </w:rPr>
        <w:t>2024</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24</w:t>
      </w:r>
      <w:r>
        <w:rPr>
          <w:rFonts w:ascii="Times New Roman" w:hAnsi="Times New Roman" w:eastAsia="宋体" w:cs="Times New Roman"/>
          <w:color w:val="auto"/>
        </w:rPr>
        <w:t>日8:30</w:t>
      </w:r>
      <w:r>
        <w:rPr>
          <w:rFonts w:ascii="Times New Roman" w:hAnsi="Times New Roman" w:eastAsia="宋体" w:cs="Times New Roman"/>
          <w:color w:val="auto"/>
        </w:rPr>
        <w:t>，使用天津数字认证有限公司发出的CA数字证书（原天津市电子认证中心发出尚在有效期内的CA数字证书仍可使用）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w:t>
      </w:r>
      <w:r>
        <w:fldChar w:fldCharType="begin"/>
      </w:r>
      <w:r>
        <w:instrText xml:space="preserve"> HYPERLINK "http://tjgpc.cz.tj.gov.cn/" </w:instrText>
      </w:r>
      <w:r>
        <w:fldChar w:fldCharType="separate"/>
      </w:r>
      <w:r>
        <w:rPr>
          <w:rStyle w:val="26"/>
          <w:rFonts w:ascii="Times New Roman" w:hAnsi="Times New Roman" w:eastAsia="宋体" w:cs="Times New Roman"/>
        </w:rPr>
        <w:t>http://tjgpc.zwfwb.tj.gov.cn/</w:t>
      </w:r>
      <w:r>
        <w:rPr>
          <w:rStyle w:val="26"/>
          <w:rFonts w:ascii="Times New Roman" w:hAnsi="Times New Roman" w:eastAsia="宋体" w:cs="Times New Roman"/>
        </w:rPr>
        <w:fldChar w:fldCharType="end"/>
      </w:r>
      <w:r>
        <w:rPr>
          <w:rFonts w:hint="eastAsia" w:ascii="Times New Roman" w:hAnsi="Times New Roman" w:eastAsia="宋体" w:cs="Times New Roman"/>
          <w:color w:val="auto"/>
        </w:rPr>
        <w:t>）-“网上招投标”-“供应商登录”-“区级集采机构入口”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05039998">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72A481C9">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7A68C258">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2024</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24</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100B8B93">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w:t>
      </w:r>
      <w:r>
        <w:fldChar w:fldCharType="begin"/>
      </w:r>
      <w:r>
        <w:instrText xml:space="preserve"> HYPERLINK "http://tjgpc.cz.tj.gov.cn/" </w:instrText>
      </w:r>
      <w:r>
        <w:fldChar w:fldCharType="separate"/>
      </w:r>
      <w:r>
        <w:rPr>
          <w:rStyle w:val="26"/>
          <w:rFonts w:ascii="Times New Roman" w:hAnsi="Times New Roman" w:eastAsia="宋体" w:cs="Times New Roman"/>
        </w:rPr>
        <w:t>http://tjgpc.zwfwb.tj.gov.cn/</w:t>
      </w:r>
      <w:r>
        <w:rPr>
          <w:rStyle w:val="26"/>
          <w:rFonts w:ascii="Times New Roman" w:hAnsi="Times New Roman" w:eastAsia="宋体" w:cs="Times New Roman"/>
        </w:rPr>
        <w:fldChar w:fldCharType="end"/>
      </w:r>
      <w:r>
        <w:rPr>
          <w:rFonts w:hint="eastAsia" w:ascii="Times New Roman" w:hAnsi="Times New Roman" w:eastAsia="宋体" w:cs="Times New Roman"/>
          <w:color w:val="auto"/>
        </w:rPr>
        <w:t>n）-“网上招投标”-“供应商登录”-“区级集采机构入口”提交网上应答并上传加盖投标人电子签章的PDF格式电子投标文件（以通过天津公共资源电子签章客户端正确读取签章信息为准）。</w:t>
      </w:r>
    </w:p>
    <w:p w14:paraId="67D26F1B">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1AF54788">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w:t>
      </w:r>
      <w:r>
        <w:rPr>
          <w:rFonts w:hint="eastAsia" w:ascii="Times New Roman" w:hAnsi="Times New Roman" w:eastAsia="宋体" w:cs="Times New Roman"/>
          <w:color w:val="auto"/>
        </w:rPr>
        <w:t>2024</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24</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764B69BD">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w:t>
      </w:r>
      <w:r>
        <w:fldChar w:fldCharType="begin"/>
      </w:r>
      <w:r>
        <w:instrText xml:space="preserve"> HYPERLINK "http://tjgpc.cz.tj.gov.cn/" </w:instrText>
      </w:r>
      <w:r>
        <w:fldChar w:fldCharType="separate"/>
      </w:r>
      <w:r>
        <w:rPr>
          <w:rStyle w:val="26"/>
          <w:rFonts w:ascii="Times New Roman" w:hAnsi="Times New Roman" w:eastAsia="宋体" w:cs="Times New Roman"/>
        </w:rPr>
        <w:t>http://tjgpc.zwfwb.tj.gov.cn/</w:t>
      </w:r>
      <w:r>
        <w:rPr>
          <w:rStyle w:val="26"/>
          <w:rFonts w:ascii="Times New Roman" w:hAnsi="Times New Roman" w:eastAsia="宋体" w:cs="Times New Roman"/>
        </w:rPr>
        <w:fldChar w:fldCharType="end"/>
      </w:r>
      <w:r>
        <w:rPr>
          <w:rFonts w:hint="eastAsia" w:ascii="Times New Roman" w:hAnsi="Times New Roman" w:eastAsia="宋体" w:cs="Times New Roman"/>
          <w:color w:val="auto"/>
        </w:rPr>
        <w:t>）-“网上招投标”-“供应商登录”-“区级集采机构入口”</w:t>
      </w:r>
      <w:r>
        <w:rPr>
          <w:rFonts w:ascii="Times New Roman" w:hAnsi="Times New Roman" w:eastAsia="宋体" w:cs="Times New Roman"/>
          <w:color w:val="auto"/>
        </w:rPr>
        <w:t>完成开标解密。</w:t>
      </w:r>
    </w:p>
    <w:p w14:paraId="585589E1">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w:t>
      </w:r>
      <w:r>
        <w:rPr>
          <w:rFonts w:hint="eastAsia" w:ascii="Times New Roman" w:hAnsi="Times New Roman" w:eastAsia="宋体" w:cs="Times New Roman"/>
          <w:color w:val="auto"/>
        </w:rPr>
        <w:t>2024</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24</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ascii="Times New Roman" w:hAnsi="Times New Roman" w:eastAsia="宋体" w:cs="Times New Roman"/>
          <w:color w:val="auto"/>
        </w:rPr>
        <w:t>。</w:t>
      </w:r>
      <w:r>
        <w:rPr>
          <w:rFonts w:hint="eastAsia" w:ascii="Times New Roman" w:hAnsi="Times New Roman" w:eastAsia="宋体" w:cs="Times New Roman"/>
          <w:color w:val="auto"/>
        </w:rPr>
        <w:t>投标人可在规定时间内使用</w:t>
      </w:r>
      <w:r>
        <w:rPr>
          <w:rFonts w:ascii="Times New Roman" w:hAnsi="Times New Roman" w:eastAsia="宋体" w:cs="Times New Roman"/>
          <w:color w:val="auto"/>
        </w:rPr>
        <w:t>天津数字认证有限公司</w:t>
      </w:r>
      <w:r>
        <w:rPr>
          <w:rFonts w:hint="eastAsia" w:ascii="Times New Roman" w:hAnsi="Times New Roman" w:eastAsia="宋体" w:cs="Times New Roman"/>
          <w:color w:val="auto"/>
        </w:rPr>
        <w:t>发出的CA数字证书（原天津市电子认证中心发出尚在有效期内的CA数字证书仍可使用）登陆天津市政府采购中心网（网址：</w:t>
      </w:r>
      <w:r>
        <w:fldChar w:fldCharType="begin"/>
      </w:r>
      <w:r>
        <w:instrText xml:space="preserve"> HYPERLINK "http://tjgpc.cz.tj.gov.cn/" </w:instrText>
      </w:r>
      <w:r>
        <w:fldChar w:fldCharType="separate"/>
      </w:r>
      <w:r>
        <w:rPr>
          <w:rStyle w:val="26"/>
          <w:rFonts w:ascii="Times New Roman" w:hAnsi="Times New Roman" w:eastAsia="宋体" w:cs="Times New Roman"/>
        </w:rPr>
        <w:t>http://tjgpc.zwfwb.tj.gov.cn/</w:t>
      </w:r>
      <w:r>
        <w:rPr>
          <w:rStyle w:val="26"/>
          <w:rFonts w:ascii="Times New Roman" w:hAnsi="Times New Roman" w:eastAsia="宋体" w:cs="Times New Roman"/>
        </w:rPr>
        <w:fldChar w:fldCharType="end"/>
      </w:r>
      <w:r>
        <w:rPr>
          <w:rFonts w:hint="eastAsia" w:ascii="Times New Roman" w:hAnsi="Times New Roman" w:eastAsia="宋体" w:cs="Times New Roman"/>
          <w:color w:val="auto"/>
        </w:rPr>
        <w:t>）-“网上招投标”-“供应商登录”-“区级集采机构入口”自行查看开标信息。</w:t>
      </w:r>
    </w:p>
    <w:p w14:paraId="526167A5">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w:t>
      </w:r>
      <w:r>
        <w:rPr>
          <w:rFonts w:hint="eastAsia" w:ascii="Times New Roman" w:hAnsi="Times New Roman" w:eastAsia="宋体" w:cs="Times New Roman"/>
          <w:color w:val="auto"/>
        </w:rPr>
        <w:t>采购代理机构名称、地址、联系人及联系方式</w:t>
      </w:r>
    </w:p>
    <w:p w14:paraId="634BA663">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（一）采购代理机构名称：天津市滨海新区政府采购中心</w:t>
      </w:r>
    </w:p>
    <w:p w14:paraId="0D20A713">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（二）采购代理机构地址：天津市滨海新区塘沽营口道468号</w:t>
      </w:r>
    </w:p>
    <w:p w14:paraId="4A2EA5D8">
      <w:pPr>
        <w:pStyle w:val="32"/>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eastAsia="zh-CN"/>
        </w:rPr>
        <w:t>夏冰</w:t>
      </w:r>
    </w:p>
    <w:p w14:paraId="1A179FD3">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（四）网址：</w:t>
      </w:r>
      <w:r>
        <w:fldChar w:fldCharType="begin"/>
      </w:r>
      <w:r>
        <w:instrText xml:space="preserve"> HYPERLINK "http://tjgpc.cz.tj.gov.cn/" </w:instrText>
      </w:r>
      <w:r>
        <w:fldChar w:fldCharType="separate"/>
      </w:r>
      <w:r>
        <w:rPr>
          <w:rStyle w:val="26"/>
          <w:rFonts w:ascii="Times New Roman" w:hAnsi="Times New Roman" w:eastAsia="宋体" w:cs="Times New Roman"/>
        </w:rPr>
        <w:t>http://tjgpc.zwfwb.tj.gov.cn/</w:t>
      </w:r>
      <w:r>
        <w:rPr>
          <w:rStyle w:val="26"/>
          <w:rFonts w:ascii="Times New Roman" w:hAnsi="Times New Roman" w:eastAsia="宋体" w:cs="Times New Roman"/>
        </w:rPr>
        <w:fldChar w:fldCharType="end"/>
      </w:r>
    </w:p>
    <w:p w14:paraId="62E6B817">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05A42BB1">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7AE75E42">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供应商注册、电子签章办理咨询：022-24538316</w:t>
      </w:r>
    </w:p>
    <w:p w14:paraId="25855EF0">
      <w:pPr>
        <w:pStyle w:val="32"/>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2. 采购文件咨询：</w:t>
      </w:r>
      <w:r>
        <w:rPr>
          <w:rFonts w:ascii="Times New Roman" w:hAnsi="Times New Roman" w:eastAsia="宋体" w:cs="Times New Roman"/>
          <w:color w:val="auto"/>
        </w:rPr>
        <w:t>022-</w:t>
      </w:r>
      <w:r>
        <w:rPr>
          <w:rFonts w:hint="eastAsia" w:ascii="Times New Roman" w:hAnsi="Times New Roman" w:eastAsia="宋体" w:cs="Times New Roman"/>
          <w:color w:val="auto"/>
        </w:rPr>
        <w:t>2586610</w:t>
      </w:r>
      <w:r>
        <w:rPr>
          <w:rFonts w:hint="eastAsia" w:ascii="Times New Roman" w:hAnsi="Times New Roman" w:eastAsia="宋体" w:cs="Times New Roman"/>
          <w:color w:val="auto"/>
          <w:lang w:val="en-US" w:eastAsia="zh-CN"/>
        </w:rPr>
        <w:t>7</w:t>
      </w:r>
    </w:p>
    <w:p w14:paraId="74B75F6B">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 </w:t>
      </w:r>
      <w:r>
        <w:rPr>
          <w:rFonts w:hint="eastAsia" w:ascii="Times New Roman" w:hAnsi="Times New Roman" w:eastAsia="宋体" w:cs="Times New Roman"/>
          <w:color w:val="auto"/>
        </w:rPr>
        <w:t>网上应答操作咨询：</w:t>
      </w:r>
      <w:r>
        <w:rPr>
          <w:rFonts w:ascii="Times New Roman" w:hAnsi="Times New Roman" w:eastAsia="宋体" w:cs="Times New Roman"/>
          <w:color w:val="auto"/>
        </w:rPr>
        <w:t>022-2453</w:t>
      </w:r>
      <w:r>
        <w:rPr>
          <w:rFonts w:hint="eastAsia" w:ascii="Times New Roman" w:hAnsi="Times New Roman" w:eastAsia="宋体" w:cs="Times New Roman"/>
          <w:color w:val="auto"/>
        </w:rPr>
        <w:t>8309</w:t>
      </w:r>
    </w:p>
    <w:p w14:paraId="52FAC125">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4. </w:t>
      </w:r>
      <w:r>
        <w:rPr>
          <w:rFonts w:hint="eastAsia" w:ascii="Times New Roman" w:hAnsi="Times New Roman" w:eastAsia="宋体" w:cs="Times New Roman"/>
          <w:color w:val="auto"/>
        </w:rPr>
        <w:t>解密操作咨询：</w:t>
      </w:r>
      <w:r>
        <w:rPr>
          <w:rFonts w:ascii="Times New Roman" w:hAnsi="Times New Roman" w:eastAsia="宋体" w:cs="Times New Roman"/>
          <w:color w:val="auto"/>
        </w:rPr>
        <w:t>022-24538309</w:t>
      </w:r>
    </w:p>
    <w:p w14:paraId="10B0B8B9">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（七）邮箱：bhzfzcb@tj.gov.cn</w:t>
      </w:r>
    </w:p>
    <w:p w14:paraId="18BE56A9">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496B3C8D">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天津市滨海新区全民健身活动中心 </w:t>
      </w:r>
    </w:p>
    <w:p w14:paraId="76F59827">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滨海新区塘沽营口道516号  </w:t>
      </w:r>
    </w:p>
    <w:p w14:paraId="39C9CA41">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朱洪海 </w:t>
      </w:r>
    </w:p>
    <w:p w14:paraId="6AC721CC">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 xml:space="preserve">022-25863783 </w:t>
      </w:r>
    </w:p>
    <w:p w14:paraId="0165BC3C">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56EF2236">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68EDAA99">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采购人针对采购文件质疑受理：</w:t>
      </w:r>
    </w:p>
    <w:p w14:paraId="6D13AD75">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1.联系部门：第一分中心 </w:t>
      </w:r>
    </w:p>
    <w:p w14:paraId="0FF48FC1">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2.联系人：赵卫国 </w:t>
      </w:r>
    </w:p>
    <w:p w14:paraId="64401991">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3.联系方式：022-66187199 </w:t>
      </w:r>
    </w:p>
    <w:p w14:paraId="028CAD18">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4.联系地址：滨海新区和平路185</w:t>
      </w:r>
    </w:p>
    <w:p w14:paraId="5196CF7A">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（二）供应商对质疑答复不满意的，或者采购人、天津市滨海新区政府采购中心未在规定期限内作出答复的，供应商可以在质疑答复期满后15个工作日内，向</w:t>
      </w:r>
      <w:r>
        <w:rPr>
          <w:rFonts w:ascii="Times New Roman" w:hAnsi="Times New Roman" w:eastAsia="宋体" w:cs="Times New Roman"/>
          <w:color w:val="auto"/>
        </w:rPr>
        <w:t>天津市</w:t>
      </w:r>
      <w:r>
        <w:rPr>
          <w:rFonts w:hint="eastAsia" w:ascii="Times New Roman" w:hAnsi="Times New Roman" w:eastAsia="宋体" w:cs="Times New Roman"/>
          <w:color w:val="auto"/>
        </w:rPr>
        <w:t>滨海新区</w:t>
      </w:r>
      <w:r>
        <w:rPr>
          <w:rFonts w:ascii="Times New Roman" w:hAnsi="Times New Roman" w:eastAsia="宋体" w:cs="Times New Roman"/>
          <w:color w:val="auto"/>
        </w:rPr>
        <w:t>财政局</w:t>
      </w:r>
      <w:r>
        <w:rPr>
          <w:rFonts w:hint="eastAsia" w:ascii="Times New Roman" w:hAnsi="Times New Roman" w:eastAsia="宋体" w:cs="Times New Roman"/>
          <w:color w:val="auto"/>
        </w:rPr>
        <w:t>政府采购办公室提出投诉，逾期不予受理。</w:t>
      </w:r>
    </w:p>
    <w:p w14:paraId="6137AA42">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0F934201">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21138C50">
      <w:pPr>
        <w:pStyle w:val="32"/>
        <w:spacing w:line="360" w:lineRule="auto"/>
        <w:ind w:firstLine="6720" w:firstLineChars="3000"/>
        <w:jc w:val="both"/>
        <w:rPr>
          <w:rFonts w:ascii="Times New Roman" w:hAnsi="Times New Roman" w:eastAsia="宋体"/>
          <w:b/>
          <w:bCs/>
          <w:color w:val="FF0000"/>
          <w:kern w:val="28"/>
          <w:sz w:val="32"/>
          <w:szCs w:val="32"/>
        </w:rPr>
      </w:pPr>
      <w:r>
        <w:rPr>
          <w:rFonts w:hint="eastAsia" w:ascii="Times New Roman" w:hAnsi="Times New Roman" w:eastAsia="宋体" w:cs="Times New Roman"/>
          <w:color w:val="auto"/>
        </w:rPr>
        <w:t>2024</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8</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29</w:t>
      </w:r>
      <w:r>
        <w:rPr>
          <w:rFonts w:ascii="Times New Roman" w:hAnsi="Times New Roman" w:eastAsia="宋体" w:cs="Times New Roman"/>
          <w:color w:val="auto"/>
        </w:rPr>
        <w:t>日</w:t>
      </w:r>
      <w:r>
        <w:rPr>
          <w:rFonts w:ascii="Times New Roman" w:hAnsi="Times New Roman" w:eastAsia="宋体"/>
          <w:color w:val="FF0000"/>
        </w:rPr>
        <w:br w:type="page"/>
      </w:r>
    </w:p>
    <w:p w14:paraId="72EAB3FF">
      <w:pPr>
        <w:pStyle w:val="16"/>
        <w:rPr>
          <w:rFonts w:ascii="Times New Roman" w:hAnsi="Times New Roman"/>
        </w:rPr>
      </w:pPr>
      <w:r>
        <w:rPr>
          <w:rFonts w:ascii="Times New Roman" w:hAnsiTheme="minorEastAsia"/>
        </w:rPr>
        <w:t>第二部分招标项目要求</w:t>
      </w:r>
      <w:bookmarkEnd w:id="3"/>
    </w:p>
    <w:p w14:paraId="0358C846">
      <w:pPr>
        <w:tabs>
          <w:tab w:val="left" w:pos="210"/>
        </w:tabs>
        <w:autoSpaceDE w:val="0"/>
        <w:autoSpaceDN w:val="0"/>
        <w:adjustRightInd w:val="0"/>
        <w:spacing w:line="360" w:lineRule="auto"/>
        <w:ind w:firstLine="448" w:firstLineChars="200"/>
        <w:outlineLvl w:val="0"/>
        <w:rPr>
          <w:sz w:val="24"/>
          <w:szCs w:val="24"/>
        </w:rPr>
      </w:pPr>
      <w:r>
        <w:rPr>
          <w:rFonts w:hAnsiTheme="minorEastAsia"/>
          <w:sz w:val="24"/>
          <w:szCs w:val="24"/>
        </w:rPr>
        <w:t>一、商务要求</w:t>
      </w:r>
    </w:p>
    <w:p w14:paraId="2D0BF37A">
      <w:pPr>
        <w:autoSpaceDE w:val="0"/>
        <w:autoSpaceDN w:val="0"/>
        <w:adjustRightInd w:val="0"/>
        <w:spacing w:line="360" w:lineRule="auto"/>
        <w:ind w:firstLine="448" w:firstLineChars="200"/>
        <w:rPr>
          <w:sz w:val="24"/>
        </w:rPr>
      </w:pPr>
      <w:r>
        <w:rPr>
          <w:rFonts w:hAnsiTheme="minorEastAsia"/>
          <w:kern w:val="0"/>
          <w:sz w:val="24"/>
          <w:szCs w:val="24"/>
        </w:rPr>
        <w:t>（一）</w:t>
      </w:r>
      <w:r>
        <w:rPr>
          <w:rFonts w:hAnsiTheme="minorEastAsia"/>
          <w:sz w:val="24"/>
        </w:rPr>
        <w:t>报价要求</w:t>
      </w:r>
    </w:p>
    <w:p w14:paraId="2A92C1EF">
      <w:pPr>
        <w:autoSpaceDE w:val="0"/>
        <w:autoSpaceDN w:val="0"/>
        <w:adjustRightInd w:val="0"/>
        <w:spacing w:line="360" w:lineRule="auto"/>
        <w:ind w:firstLine="448" w:firstLineChars="200"/>
        <w:rPr>
          <w:sz w:val="24"/>
        </w:rPr>
      </w:pPr>
      <w:r>
        <w:rPr>
          <w:sz w:val="24"/>
        </w:rPr>
        <w:t xml:space="preserve">1. </w:t>
      </w:r>
      <w:r>
        <w:rPr>
          <w:rFonts w:hAnsiTheme="minorEastAsia"/>
          <w:sz w:val="24"/>
        </w:rPr>
        <w:t>投标报价以人民币填列。</w:t>
      </w:r>
    </w:p>
    <w:p w14:paraId="575A538C">
      <w:pPr>
        <w:autoSpaceDE w:val="0"/>
        <w:autoSpaceDN w:val="0"/>
        <w:adjustRightInd w:val="0"/>
        <w:spacing w:line="360" w:lineRule="auto"/>
        <w:ind w:firstLine="448" w:firstLineChars="200"/>
        <w:rPr>
          <w:sz w:val="24"/>
        </w:rPr>
      </w:pPr>
      <w:r>
        <w:rPr>
          <w:sz w:val="24"/>
        </w:rPr>
        <w:t xml:space="preserve">2. </w:t>
      </w:r>
      <w:r>
        <w:rPr>
          <w:rFonts w:hAnsiTheme="minorEastAsia"/>
          <w:sz w:val="24"/>
        </w:rPr>
        <w:t>投标人的报价应包括：人员工资、福利、社险</w:t>
      </w:r>
      <w:r>
        <w:rPr>
          <w:rFonts w:hint="eastAsia" w:hAnsiTheme="minorEastAsia"/>
          <w:sz w:val="24"/>
        </w:rPr>
        <w:t>、住房公积金</w:t>
      </w:r>
      <w:r>
        <w:rPr>
          <w:rFonts w:hAnsiTheme="minorEastAsia"/>
          <w:sz w:val="24"/>
        </w:rPr>
        <w:t>等人工费用、服装费、办公费、企业利润及税金等为完成招标文件规定的一切工作所需的全部费用。投标人所报价格应为最终优惠价格。</w:t>
      </w:r>
    </w:p>
    <w:p w14:paraId="785C1E86">
      <w:pPr>
        <w:spacing w:line="360" w:lineRule="auto"/>
        <w:ind w:firstLine="448" w:firstLineChars="200"/>
        <w:rPr>
          <w:color w:val="auto"/>
          <w:kern w:val="0"/>
          <w:sz w:val="24"/>
          <w:szCs w:val="24"/>
        </w:rPr>
      </w:pPr>
      <w:r>
        <w:rPr>
          <w:rFonts w:hint="eastAsia"/>
          <w:color w:val="auto"/>
          <w:kern w:val="0"/>
          <w:sz w:val="24"/>
          <w:szCs w:val="24"/>
        </w:rPr>
        <w:t>3.</w:t>
      </w:r>
      <w:r>
        <w:rPr>
          <w:rFonts w:hAnsiTheme="minorEastAsia"/>
          <w:color w:val="auto"/>
          <w:sz w:val="24"/>
        </w:rPr>
        <w:t>验收相关费用由投标人负责。</w:t>
      </w:r>
    </w:p>
    <w:p w14:paraId="7976102E">
      <w:pPr>
        <w:autoSpaceDE w:val="0"/>
        <w:autoSpaceDN w:val="0"/>
        <w:adjustRightInd w:val="0"/>
        <w:spacing w:line="360" w:lineRule="auto"/>
        <w:ind w:firstLine="448" w:firstLineChars="200"/>
        <w:rPr>
          <w:color w:val="auto"/>
          <w:sz w:val="24"/>
        </w:rPr>
      </w:pPr>
      <w:r>
        <w:rPr>
          <w:rFonts w:hAnsiTheme="minorEastAsia"/>
          <w:color w:val="auto"/>
          <w:sz w:val="24"/>
        </w:rPr>
        <w:t>（</w:t>
      </w:r>
      <w:r>
        <w:rPr>
          <w:rFonts w:hint="eastAsia" w:hAnsiTheme="minorEastAsia"/>
          <w:color w:val="auto"/>
          <w:sz w:val="24"/>
        </w:rPr>
        <w:t>二</w:t>
      </w:r>
      <w:r>
        <w:rPr>
          <w:rFonts w:hAnsiTheme="minorEastAsia"/>
          <w:color w:val="auto"/>
          <w:sz w:val="24"/>
        </w:rPr>
        <w:t>）时间、地点要求</w:t>
      </w:r>
    </w:p>
    <w:p w14:paraId="0BBFDE40">
      <w:pPr>
        <w:autoSpaceDE w:val="0"/>
        <w:autoSpaceDN w:val="0"/>
        <w:adjustRightInd w:val="0"/>
        <w:spacing w:line="360" w:lineRule="auto"/>
        <w:ind w:firstLine="448" w:firstLineChars="200"/>
        <w:rPr>
          <w:color w:val="auto"/>
          <w:sz w:val="24"/>
        </w:rPr>
      </w:pPr>
      <w:r>
        <w:rPr>
          <w:color w:val="auto"/>
          <w:sz w:val="24"/>
        </w:rPr>
        <w:t xml:space="preserve">1. </w:t>
      </w:r>
      <w:r>
        <w:rPr>
          <w:rFonts w:hAnsiTheme="minorEastAsia"/>
          <w:color w:val="auto"/>
          <w:sz w:val="24"/>
        </w:rPr>
        <w:t>时间要求：</w:t>
      </w:r>
      <w:r>
        <w:rPr>
          <w:rFonts w:hint="eastAsia" w:hAnsiTheme="minorEastAsia"/>
          <w:color w:val="auto"/>
          <w:sz w:val="24"/>
        </w:rPr>
        <w:t>合同规定的服务起始之日起</w:t>
      </w:r>
      <w:r>
        <w:rPr>
          <w:rFonts w:hint="eastAsia" w:hAnsiTheme="minorEastAsia"/>
          <w:color w:val="auto"/>
          <w:sz w:val="24"/>
          <w:lang w:val="en-US" w:eastAsia="zh-CN"/>
        </w:rPr>
        <w:t>1年</w:t>
      </w:r>
      <w:r>
        <w:rPr>
          <w:rFonts w:hint="eastAsia" w:hAnsiTheme="minorEastAsia"/>
          <w:color w:val="auto"/>
          <w:sz w:val="24"/>
        </w:rPr>
        <w:t>的服务期</w:t>
      </w:r>
      <w:r>
        <w:rPr>
          <w:rFonts w:hAnsiTheme="minorEastAsia"/>
          <w:color w:val="auto"/>
          <w:sz w:val="24"/>
        </w:rPr>
        <w:t>（特殊情况以合同为准）。</w:t>
      </w:r>
    </w:p>
    <w:p w14:paraId="53802B7C">
      <w:pPr>
        <w:autoSpaceDE w:val="0"/>
        <w:autoSpaceDN w:val="0"/>
        <w:adjustRightInd w:val="0"/>
        <w:spacing w:line="360" w:lineRule="auto"/>
        <w:ind w:firstLine="448" w:firstLineChars="200"/>
        <w:rPr>
          <w:color w:val="auto"/>
          <w:sz w:val="24"/>
        </w:rPr>
      </w:pPr>
      <w:r>
        <w:rPr>
          <w:color w:val="auto"/>
          <w:sz w:val="24"/>
        </w:rPr>
        <w:t xml:space="preserve">2. </w:t>
      </w:r>
      <w:r>
        <w:rPr>
          <w:rFonts w:hAnsiTheme="minorEastAsia"/>
          <w:color w:val="auto"/>
          <w:sz w:val="24"/>
        </w:rPr>
        <w:t>服务地点：</w:t>
      </w:r>
      <w:r>
        <w:rPr>
          <w:rFonts w:hint="eastAsia" w:hAnsiTheme="minorEastAsia"/>
          <w:color w:val="auto"/>
          <w:sz w:val="24"/>
        </w:rPr>
        <w:t>塘沽体育馆、塘沽体育场、塘沽网球馆</w:t>
      </w:r>
      <w:r>
        <w:rPr>
          <w:rFonts w:hAnsiTheme="minorEastAsia"/>
          <w:color w:val="auto"/>
          <w:sz w:val="24"/>
        </w:rPr>
        <w:t>（特殊情况以合同为准）。</w:t>
      </w:r>
    </w:p>
    <w:p w14:paraId="53EB0F95">
      <w:pPr>
        <w:autoSpaceDE w:val="0"/>
        <w:autoSpaceDN w:val="0"/>
        <w:adjustRightInd w:val="0"/>
        <w:spacing w:line="360" w:lineRule="auto"/>
        <w:ind w:firstLine="448" w:firstLineChars="200"/>
        <w:rPr>
          <w:color w:val="auto"/>
          <w:sz w:val="24"/>
        </w:rPr>
      </w:pPr>
      <w:r>
        <w:rPr>
          <w:rFonts w:hAnsiTheme="minorEastAsia"/>
          <w:color w:val="auto"/>
          <w:sz w:val="24"/>
        </w:rPr>
        <w:t>（</w:t>
      </w:r>
      <w:r>
        <w:rPr>
          <w:rFonts w:hint="eastAsia" w:hAnsiTheme="minorEastAsia"/>
          <w:color w:val="auto"/>
          <w:sz w:val="24"/>
        </w:rPr>
        <w:t>三</w:t>
      </w:r>
      <w:r>
        <w:rPr>
          <w:rFonts w:hAnsiTheme="minorEastAsia"/>
          <w:color w:val="auto"/>
          <w:sz w:val="24"/>
        </w:rPr>
        <w:t>）付款方式</w:t>
      </w:r>
    </w:p>
    <w:p w14:paraId="3DFCB3BB">
      <w:pPr>
        <w:autoSpaceDE w:val="0"/>
        <w:autoSpaceDN w:val="0"/>
        <w:adjustRightInd w:val="0"/>
        <w:spacing w:line="360" w:lineRule="auto"/>
        <w:ind w:firstLine="448" w:firstLineChars="200"/>
        <w:rPr>
          <w:color w:val="auto"/>
          <w:sz w:val="24"/>
        </w:rPr>
      </w:pPr>
      <w:r>
        <w:rPr>
          <w:rFonts w:hint="eastAsia" w:hAnsiTheme="minorEastAsia"/>
          <w:color w:val="auto"/>
          <w:sz w:val="24"/>
        </w:rPr>
        <w:t>按季付款，经考核后，每月</w:t>
      </w:r>
      <w:r>
        <w:rPr>
          <w:rFonts w:hint="eastAsia"/>
          <w:color w:val="auto"/>
          <w:sz w:val="24"/>
        </w:rPr>
        <w:t>25</w:t>
      </w:r>
      <w:r>
        <w:rPr>
          <w:rFonts w:hint="eastAsia" w:hAnsiTheme="minorEastAsia"/>
          <w:color w:val="auto"/>
          <w:sz w:val="24"/>
        </w:rPr>
        <w:t>日前支付上一</w:t>
      </w:r>
      <w:r>
        <w:rPr>
          <w:rFonts w:hint="eastAsia" w:hAnsiTheme="minorEastAsia"/>
          <w:color w:val="auto"/>
          <w:sz w:val="24"/>
          <w:lang w:eastAsia="zh-CN"/>
        </w:rPr>
        <w:t>季度</w:t>
      </w:r>
      <w:bookmarkStart w:id="6" w:name="_GoBack"/>
      <w:bookmarkEnd w:id="6"/>
      <w:r>
        <w:rPr>
          <w:rFonts w:hint="eastAsia" w:hAnsiTheme="minorEastAsia"/>
          <w:color w:val="auto"/>
          <w:sz w:val="24"/>
        </w:rPr>
        <w:t>服务费（特殊情况以合同为准）。</w:t>
      </w:r>
    </w:p>
    <w:p w14:paraId="6DE6A406">
      <w:pPr>
        <w:autoSpaceDE w:val="0"/>
        <w:autoSpaceDN w:val="0"/>
        <w:adjustRightInd w:val="0"/>
        <w:spacing w:line="360" w:lineRule="auto"/>
        <w:ind w:firstLine="448" w:firstLineChars="200"/>
        <w:rPr>
          <w:sz w:val="24"/>
        </w:rPr>
      </w:pPr>
      <w:r>
        <w:rPr>
          <w:rFonts w:hAnsiTheme="minorEastAsia"/>
          <w:sz w:val="24"/>
        </w:rPr>
        <w:t>（</w:t>
      </w:r>
      <w:r>
        <w:rPr>
          <w:rFonts w:hint="eastAsia" w:hAnsiTheme="minorEastAsia"/>
          <w:sz w:val="24"/>
        </w:rPr>
        <w:t>四</w:t>
      </w:r>
      <w:r>
        <w:rPr>
          <w:rFonts w:hAnsiTheme="minorEastAsia"/>
          <w:sz w:val="24"/>
        </w:rPr>
        <w:t>）投标保证金和履约保证金</w:t>
      </w:r>
    </w:p>
    <w:p w14:paraId="23ED9040">
      <w:pPr>
        <w:autoSpaceDE w:val="0"/>
        <w:autoSpaceDN w:val="0"/>
        <w:adjustRightInd w:val="0"/>
        <w:spacing w:line="360" w:lineRule="auto"/>
        <w:ind w:firstLine="448" w:firstLineChars="200"/>
        <w:rPr>
          <w:sz w:val="24"/>
        </w:rPr>
      </w:pPr>
      <w:r>
        <w:rPr>
          <w:rFonts w:hAnsiTheme="minorEastAsia"/>
          <w:sz w:val="24"/>
        </w:rPr>
        <w:t>本项目不收取投标保证金和履约保证金。</w:t>
      </w:r>
    </w:p>
    <w:p w14:paraId="4F5FDB5A">
      <w:pPr>
        <w:autoSpaceDE w:val="0"/>
        <w:autoSpaceDN w:val="0"/>
        <w:adjustRightInd w:val="0"/>
        <w:spacing w:line="360" w:lineRule="auto"/>
        <w:ind w:firstLine="448" w:firstLineChars="200"/>
        <w:rPr>
          <w:color w:val="000000"/>
          <w:sz w:val="24"/>
        </w:rPr>
      </w:pPr>
      <w:r>
        <w:rPr>
          <w:rFonts w:hint="eastAsia" w:hAnsiTheme="minorEastAsia"/>
          <w:color w:val="000000"/>
          <w:sz w:val="24"/>
        </w:rPr>
        <w:t>（五）验收方法及标准</w:t>
      </w:r>
    </w:p>
    <w:p w14:paraId="5CDE32F9">
      <w:pPr>
        <w:autoSpaceDE w:val="0"/>
        <w:autoSpaceDN w:val="0"/>
        <w:adjustRightInd w:val="0"/>
        <w:spacing w:line="360" w:lineRule="auto"/>
        <w:ind w:firstLine="448" w:firstLineChars="200"/>
        <w:rPr>
          <w:color w:val="000000"/>
          <w:sz w:val="24"/>
        </w:rPr>
      </w:pPr>
      <w:r>
        <w:rPr>
          <w:rFonts w:hint="eastAsia" w:hAnsiTheme="minor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5B0D576E">
      <w:pPr>
        <w:autoSpaceDE w:val="0"/>
        <w:autoSpaceDN w:val="0"/>
        <w:adjustRightInd w:val="0"/>
        <w:spacing w:line="360" w:lineRule="auto"/>
        <w:ind w:firstLine="448" w:firstLineChars="200"/>
        <w:rPr>
          <w:bCs/>
          <w:sz w:val="24"/>
        </w:rPr>
      </w:pPr>
      <w:r>
        <w:rPr>
          <w:rFonts w:hAnsiTheme="minorEastAsia"/>
          <w:sz w:val="24"/>
        </w:rPr>
        <w:t>二</w:t>
      </w:r>
      <w:r>
        <w:rPr>
          <w:rFonts w:hAnsiTheme="minorEastAsia"/>
          <w:bCs/>
          <w:sz w:val="24"/>
        </w:rPr>
        <w:t>、技术要求</w:t>
      </w:r>
    </w:p>
    <w:p w14:paraId="683D94F3">
      <w:pPr>
        <w:spacing w:line="360" w:lineRule="auto"/>
        <w:ind w:firstLine="448" w:firstLineChars="200"/>
        <w:outlineLvl w:val="0"/>
        <w:rPr>
          <w:sz w:val="24"/>
        </w:rPr>
      </w:pPr>
      <w:r>
        <w:rPr>
          <w:rFonts w:hint="eastAsia" w:hAnsiTheme="minorEastAsia"/>
          <w:sz w:val="24"/>
        </w:rPr>
        <w:t>★</w:t>
      </w:r>
      <w:r>
        <w:rPr>
          <w:rFonts w:hAnsiTheme="minorEastAsia"/>
          <w:sz w:val="24"/>
        </w:rPr>
        <w:t>（一）投标人须承诺所提供的服务、人员</w:t>
      </w:r>
      <w:r>
        <w:rPr>
          <w:rFonts w:hint="eastAsia" w:hAnsiTheme="minorEastAsia"/>
          <w:sz w:val="24"/>
        </w:rPr>
        <w:t>、</w:t>
      </w:r>
      <w:r>
        <w:rPr>
          <w:rFonts w:hAnsiTheme="minorEastAsia"/>
          <w:sz w:val="24"/>
        </w:rPr>
        <w:t>设备</w:t>
      </w:r>
      <w:r>
        <w:rPr>
          <w:rFonts w:hint="eastAsia" w:hAnsiTheme="minorEastAsia"/>
          <w:sz w:val="24"/>
        </w:rPr>
        <w:t>及耗材等均</w:t>
      </w:r>
      <w:r>
        <w:rPr>
          <w:rFonts w:hAnsiTheme="minorEastAsia"/>
          <w:sz w:val="24"/>
        </w:rPr>
        <w:t>符合相关强制性规定。</w:t>
      </w:r>
    </w:p>
    <w:p w14:paraId="2F971A55">
      <w:pPr>
        <w:autoSpaceDE w:val="0"/>
        <w:autoSpaceDN w:val="0"/>
        <w:adjustRightInd w:val="0"/>
        <w:spacing w:line="360" w:lineRule="auto"/>
        <w:ind w:firstLine="448" w:firstLineChars="200"/>
        <w:rPr>
          <w:color w:val="000000"/>
          <w:sz w:val="24"/>
        </w:rPr>
      </w:pPr>
      <w:r>
        <w:rPr>
          <w:rFonts w:hint="eastAsia" w:hAnsiTheme="minorEastAsia"/>
          <w:color w:val="000000"/>
          <w:sz w:val="24"/>
        </w:rPr>
        <w:t>★</w:t>
      </w:r>
      <w:r>
        <w:rPr>
          <w:rFonts w:hAnsiTheme="minorEastAsia"/>
          <w:color w:val="000000"/>
          <w:sz w:val="24"/>
        </w:rPr>
        <w:t>（二）</w:t>
      </w:r>
      <w:r>
        <w:rPr>
          <w:rFonts w:hAnsiTheme="minorEastAsia"/>
          <w:sz w:val="24"/>
        </w:rPr>
        <w:t>投标人须承诺</w:t>
      </w:r>
      <w:r>
        <w:rPr>
          <w:rFonts w:hint="eastAsia" w:hAnsiTheme="minorEastAsia"/>
          <w:sz w:val="24"/>
        </w:rPr>
        <w:t>一旦中标，</w:t>
      </w:r>
      <w:r>
        <w:rPr>
          <w:rFonts w:hAnsiTheme="minorEastAsia"/>
          <w:color w:val="000000"/>
          <w:sz w:val="24"/>
        </w:rPr>
        <w:t>根据《中华人民共和国劳动合同法》及其他法律法规的要求与服务人员签订</w:t>
      </w:r>
      <w:r>
        <w:rPr>
          <w:rFonts w:hint="eastAsia" w:hAnsiTheme="minorEastAsia"/>
          <w:color w:val="000000"/>
          <w:sz w:val="24"/>
        </w:rPr>
        <w:t>劳动</w:t>
      </w:r>
      <w:r>
        <w:rPr>
          <w:rFonts w:hAnsiTheme="minorEastAsia"/>
          <w:color w:val="000000"/>
          <w:sz w:val="24"/>
        </w:rPr>
        <w:t>合同</w:t>
      </w:r>
      <w:r>
        <w:rPr>
          <w:rFonts w:hint="eastAsia" w:hAnsiTheme="minorEastAsia"/>
          <w:color w:val="000000"/>
          <w:sz w:val="24"/>
        </w:rPr>
        <w:t>，按国家及天津市相关政策规定，支付工资、加班费和福利费、</w:t>
      </w:r>
      <w:r>
        <w:rPr>
          <w:rFonts w:hAnsiTheme="minorEastAsia"/>
          <w:color w:val="000000"/>
          <w:sz w:val="24"/>
        </w:rPr>
        <w:t>缴纳社会保险</w:t>
      </w:r>
      <w:r>
        <w:rPr>
          <w:rFonts w:hint="eastAsia" w:hAnsiTheme="minorEastAsia"/>
          <w:color w:val="000000"/>
          <w:sz w:val="24"/>
        </w:rPr>
        <w:t>及住房公积金等</w:t>
      </w:r>
      <w:r>
        <w:rPr>
          <w:rFonts w:hAnsiTheme="minorEastAsia"/>
          <w:color w:val="000000"/>
          <w:sz w:val="24"/>
        </w:rPr>
        <w:t>。</w:t>
      </w:r>
    </w:p>
    <w:p w14:paraId="778ED5B9">
      <w:pPr>
        <w:autoSpaceDE w:val="0"/>
        <w:autoSpaceDN w:val="0"/>
        <w:adjustRightInd w:val="0"/>
        <w:spacing w:line="360" w:lineRule="auto"/>
        <w:ind w:firstLine="448" w:firstLineChars="200"/>
        <w:rPr>
          <w:color w:val="000000"/>
          <w:sz w:val="24"/>
        </w:rPr>
      </w:pPr>
      <w:r>
        <w:rPr>
          <w:rFonts w:hint="eastAsia" w:hAnsiTheme="minorEastAsia"/>
          <w:color w:val="000000"/>
          <w:sz w:val="24"/>
        </w:rPr>
        <w:t>★</w:t>
      </w:r>
      <w:r>
        <w:rPr>
          <w:rFonts w:hAnsiTheme="minorEastAsia"/>
          <w:color w:val="000000"/>
          <w:sz w:val="24"/>
        </w:rPr>
        <w:t>（三）</w:t>
      </w:r>
      <w:r>
        <w:rPr>
          <w:rFonts w:hAnsiTheme="minorEastAsia"/>
          <w:sz w:val="24"/>
        </w:rPr>
        <w:t>投标人须承诺</w:t>
      </w:r>
      <w:r>
        <w:rPr>
          <w:rFonts w:hint="eastAsia" w:hAnsiTheme="minorEastAsia"/>
          <w:color w:val="000000"/>
          <w:sz w:val="24"/>
        </w:rPr>
        <w:t>相应专业</w:t>
      </w:r>
      <w:r>
        <w:rPr>
          <w:rFonts w:hAnsiTheme="minorEastAsia"/>
          <w:color w:val="000000"/>
          <w:sz w:val="24"/>
        </w:rPr>
        <w:t>人员须具备国家相关部门颁发的在有效期内的资质证书，项目实施过程中保证持证上岗。</w:t>
      </w:r>
    </w:p>
    <w:p w14:paraId="4A0F7CD1">
      <w:pPr>
        <w:spacing w:line="360" w:lineRule="auto"/>
        <w:ind w:firstLine="448" w:firstLineChars="200"/>
        <w:outlineLvl w:val="0"/>
        <w:rPr>
          <w:sz w:val="24"/>
        </w:rPr>
      </w:pPr>
      <w:r>
        <w:rPr>
          <w:rFonts w:hAnsiTheme="minorEastAsia"/>
          <w:sz w:val="24"/>
        </w:rPr>
        <w:t>（四）具体需求详见本部分项目需求书。</w:t>
      </w:r>
    </w:p>
    <w:p w14:paraId="5530EDF8">
      <w:pPr>
        <w:spacing w:line="360" w:lineRule="auto"/>
        <w:ind w:firstLine="448" w:firstLineChars="200"/>
        <w:outlineLvl w:val="0"/>
        <w:rPr>
          <w:sz w:val="24"/>
        </w:rPr>
      </w:pPr>
      <w:r>
        <w:rPr>
          <w:rFonts w:hAnsiTheme="minorEastAsia"/>
          <w:sz w:val="24"/>
        </w:rPr>
        <w:t>三、评分因素及评标标准</w:t>
      </w:r>
    </w:p>
    <w:tbl>
      <w:tblPr>
        <w:tblStyle w:val="20"/>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787F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vAlign w:val="center"/>
          </w:tcPr>
          <w:p w14:paraId="7C026618">
            <w:pPr>
              <w:widowControl/>
              <w:adjustRightInd w:val="0"/>
              <w:snapToGrid w:val="0"/>
              <w:spacing w:line="360" w:lineRule="auto"/>
              <w:jc w:val="center"/>
              <w:rPr>
                <w:kern w:val="0"/>
                <w:sz w:val="24"/>
                <w:szCs w:val="24"/>
              </w:rPr>
            </w:pPr>
            <w:r>
              <w:rPr>
                <w:kern w:val="0"/>
                <w:sz w:val="24"/>
                <w:szCs w:val="24"/>
              </w:rPr>
              <w:t>第一部分 价格（20分）</w:t>
            </w:r>
          </w:p>
        </w:tc>
        <w:tc>
          <w:tcPr>
            <w:tcW w:w="1143" w:type="dxa"/>
            <w:vAlign w:val="center"/>
          </w:tcPr>
          <w:p w14:paraId="1EF14DEB">
            <w:pPr>
              <w:widowControl/>
              <w:adjustRightInd w:val="0"/>
              <w:snapToGrid w:val="0"/>
              <w:spacing w:line="360" w:lineRule="auto"/>
              <w:jc w:val="center"/>
              <w:rPr>
                <w:kern w:val="0"/>
                <w:sz w:val="24"/>
                <w:szCs w:val="24"/>
              </w:rPr>
            </w:pPr>
            <w:r>
              <w:rPr>
                <w:kern w:val="0"/>
                <w:sz w:val="24"/>
                <w:szCs w:val="24"/>
              </w:rPr>
              <w:t>分值</w:t>
            </w:r>
          </w:p>
        </w:tc>
      </w:tr>
      <w:tr w14:paraId="0E2A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noWrap/>
            <w:vAlign w:val="center"/>
          </w:tcPr>
          <w:p w14:paraId="324721CD">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14:paraId="616C8FAC">
            <w:pPr>
              <w:widowControl/>
              <w:adjustRightInd w:val="0"/>
              <w:snapToGrid w:val="0"/>
              <w:spacing w:line="360" w:lineRule="auto"/>
              <w:jc w:val="center"/>
              <w:rPr>
                <w:kern w:val="0"/>
                <w:sz w:val="24"/>
                <w:szCs w:val="24"/>
              </w:rPr>
            </w:pPr>
            <w:r>
              <w:rPr>
                <w:kern w:val="0"/>
                <w:sz w:val="24"/>
                <w:szCs w:val="24"/>
              </w:rPr>
              <w:t>价格</w:t>
            </w:r>
          </w:p>
        </w:tc>
        <w:tc>
          <w:tcPr>
            <w:tcW w:w="7311" w:type="dxa"/>
            <w:vAlign w:val="center"/>
          </w:tcPr>
          <w:p w14:paraId="3EF296E3">
            <w:pPr>
              <w:widowControl/>
              <w:adjustRightInd w:val="0"/>
              <w:snapToGrid w:val="0"/>
              <w:spacing w:line="360" w:lineRule="auto"/>
              <w:rPr>
                <w:kern w:val="0"/>
                <w:sz w:val="24"/>
                <w:szCs w:val="24"/>
              </w:rPr>
            </w:pPr>
            <w:r>
              <w:rPr>
                <w:kern w:val="0"/>
                <w:sz w:val="24"/>
                <w:szCs w:val="24"/>
              </w:rPr>
              <w:t>（1）投标报价超过采购预算的，投标无效，未超过采购预算的投标报价按以下公式进行计算。</w:t>
            </w:r>
          </w:p>
          <w:p w14:paraId="6BD189DF">
            <w:pPr>
              <w:widowControl/>
              <w:adjustRightInd w:val="0"/>
              <w:snapToGrid w:val="0"/>
              <w:spacing w:line="360" w:lineRule="auto"/>
              <w:rPr>
                <w:kern w:val="0"/>
                <w:sz w:val="24"/>
                <w:szCs w:val="24"/>
              </w:rPr>
            </w:pPr>
            <w:r>
              <w:rPr>
                <w:kern w:val="0"/>
                <w:sz w:val="24"/>
                <w:szCs w:val="24"/>
              </w:rPr>
              <w:t>（2）投标报价得分=（评标基准价/投标报价）×20</w:t>
            </w:r>
          </w:p>
          <w:p w14:paraId="5E5E20C6">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vAlign w:val="center"/>
          </w:tcPr>
          <w:p w14:paraId="56B630F7">
            <w:pPr>
              <w:widowControl/>
              <w:adjustRightInd w:val="0"/>
              <w:snapToGrid w:val="0"/>
              <w:spacing w:line="360" w:lineRule="auto"/>
              <w:jc w:val="center"/>
              <w:rPr>
                <w:kern w:val="0"/>
                <w:sz w:val="24"/>
                <w:szCs w:val="24"/>
              </w:rPr>
            </w:pPr>
            <w:r>
              <w:rPr>
                <w:kern w:val="0"/>
                <w:sz w:val="24"/>
                <w:szCs w:val="24"/>
              </w:rPr>
              <w:t>20</w:t>
            </w:r>
          </w:p>
        </w:tc>
      </w:tr>
      <w:tr w14:paraId="692E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noWrap/>
            <w:vAlign w:val="center"/>
          </w:tcPr>
          <w:p w14:paraId="2167A4E5">
            <w:pPr>
              <w:widowControl/>
              <w:adjustRightInd w:val="0"/>
              <w:snapToGrid w:val="0"/>
              <w:spacing w:line="360" w:lineRule="auto"/>
              <w:jc w:val="center"/>
              <w:rPr>
                <w:kern w:val="0"/>
                <w:sz w:val="24"/>
                <w:szCs w:val="24"/>
              </w:rPr>
            </w:pPr>
            <w:r>
              <w:rPr>
                <w:kern w:val="0"/>
                <w:sz w:val="24"/>
                <w:szCs w:val="24"/>
              </w:rPr>
              <w:t>第二部分 客观分（</w:t>
            </w:r>
            <w:r>
              <w:rPr>
                <w:rFonts w:hint="eastAsia"/>
                <w:kern w:val="0"/>
                <w:sz w:val="24"/>
                <w:szCs w:val="24"/>
              </w:rPr>
              <w:t>4</w:t>
            </w:r>
            <w:r>
              <w:rPr>
                <w:rFonts w:hint="eastAsia"/>
                <w:kern w:val="0"/>
                <w:sz w:val="24"/>
                <w:szCs w:val="24"/>
                <w:lang w:val="en-US" w:eastAsia="zh-CN"/>
              </w:rPr>
              <w:t>7</w:t>
            </w:r>
            <w:r>
              <w:rPr>
                <w:kern w:val="0"/>
                <w:sz w:val="24"/>
                <w:szCs w:val="24"/>
              </w:rPr>
              <w:t>分）</w:t>
            </w:r>
          </w:p>
        </w:tc>
        <w:tc>
          <w:tcPr>
            <w:tcW w:w="1143" w:type="dxa"/>
            <w:vAlign w:val="center"/>
          </w:tcPr>
          <w:p w14:paraId="59503428">
            <w:pPr>
              <w:widowControl/>
              <w:adjustRightInd w:val="0"/>
              <w:snapToGrid w:val="0"/>
              <w:spacing w:line="360" w:lineRule="auto"/>
              <w:jc w:val="center"/>
              <w:rPr>
                <w:kern w:val="0"/>
                <w:sz w:val="24"/>
                <w:szCs w:val="24"/>
              </w:rPr>
            </w:pPr>
            <w:r>
              <w:rPr>
                <w:kern w:val="0"/>
                <w:sz w:val="24"/>
                <w:szCs w:val="24"/>
              </w:rPr>
              <w:t>分值</w:t>
            </w:r>
          </w:p>
        </w:tc>
      </w:tr>
      <w:tr w14:paraId="5D1A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2C6EAE94">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14:paraId="67458C38">
            <w:pPr>
              <w:widowControl/>
              <w:adjustRightInd w:val="0"/>
              <w:snapToGrid w:val="0"/>
              <w:spacing w:line="360" w:lineRule="auto"/>
              <w:jc w:val="center"/>
              <w:rPr>
                <w:kern w:val="0"/>
                <w:sz w:val="24"/>
                <w:szCs w:val="24"/>
              </w:rPr>
            </w:pPr>
            <w:r>
              <w:rPr>
                <w:kern w:val="0"/>
                <w:sz w:val="24"/>
                <w:szCs w:val="24"/>
              </w:rPr>
              <w:t>投标人业绩</w:t>
            </w:r>
          </w:p>
        </w:tc>
        <w:tc>
          <w:tcPr>
            <w:tcW w:w="7311" w:type="dxa"/>
            <w:vAlign w:val="center"/>
          </w:tcPr>
          <w:p w14:paraId="2809B494">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完全按照以下要求提供投标人曾实施的非住宅物业服务业绩，提供的证明材料均不得遮挡涂黑，否则不予认定加分。</w:t>
            </w:r>
          </w:p>
          <w:p w14:paraId="1E80B3CA">
            <w:pPr>
              <w:widowControl/>
              <w:numPr>
                <w:ilvl w:val="0"/>
                <w:numId w:val="2"/>
              </w:numPr>
              <w:adjustRightInd w:val="0"/>
              <w:snapToGrid w:val="0"/>
              <w:spacing w:line="360" w:lineRule="auto"/>
              <w:rPr>
                <w:rFonts w:hint="eastAsia"/>
                <w:kern w:val="0"/>
                <w:sz w:val="24"/>
                <w:szCs w:val="24"/>
                <w:lang w:eastAsia="zh-CN"/>
              </w:rPr>
            </w:pPr>
            <w:r>
              <w:rPr>
                <w:rFonts w:hint="eastAsia"/>
                <w:kern w:val="0"/>
                <w:sz w:val="24"/>
                <w:szCs w:val="24"/>
              </w:rPr>
              <w:t>合同原件扫描件。包括合同金额、买卖双方名称及盖章、物业服务期限（合同服务起始日期为2021年1月1日或以后，且已经履行至少1年的时间）、物业服务内容</w:t>
            </w:r>
            <w:r>
              <w:rPr>
                <w:rFonts w:hint="eastAsia"/>
                <w:kern w:val="0"/>
                <w:sz w:val="24"/>
                <w:szCs w:val="24"/>
                <w:lang w:eastAsia="zh-CN"/>
              </w:rPr>
              <w:t>。</w:t>
            </w:r>
          </w:p>
          <w:p w14:paraId="555D6BD9">
            <w:pPr>
              <w:widowControl/>
              <w:numPr>
                <w:ilvl w:val="0"/>
                <w:numId w:val="0"/>
              </w:numPr>
              <w:adjustRightInd w:val="0"/>
              <w:snapToGrid w:val="0"/>
              <w:spacing w:line="360" w:lineRule="auto"/>
              <w:rPr>
                <w:kern w:val="0"/>
                <w:sz w:val="24"/>
                <w:szCs w:val="24"/>
              </w:rPr>
            </w:pPr>
            <w:r>
              <w:rPr>
                <w:rFonts w:hint="eastAsia"/>
                <w:kern w:val="0"/>
                <w:sz w:val="24"/>
                <w:szCs w:val="24"/>
              </w:rPr>
              <w:t>B.上述合同履行良好的相关证明材料原件扫描件（加盖上述合同甲方单位公章或上述合同中的甲方印章）。</w:t>
            </w:r>
          </w:p>
          <w:p w14:paraId="070914CF">
            <w:pPr>
              <w:widowControl/>
              <w:adjustRightInd w:val="0"/>
              <w:snapToGrid w:val="0"/>
              <w:spacing w:line="360" w:lineRule="auto"/>
              <w:rPr>
                <w:kern w:val="0"/>
                <w:sz w:val="24"/>
                <w:szCs w:val="24"/>
              </w:rPr>
            </w:pPr>
            <w:r>
              <w:rPr>
                <w:rFonts w:hint="eastAsia"/>
                <w:kern w:val="0"/>
                <w:sz w:val="24"/>
                <w:szCs w:val="24"/>
              </w:rPr>
              <w:t>每个业绩2分，最多10分</w:t>
            </w:r>
          </w:p>
          <w:p w14:paraId="04AF7CCD">
            <w:pPr>
              <w:widowControl/>
              <w:adjustRightInd w:val="0"/>
              <w:snapToGrid w:val="0"/>
              <w:spacing w:line="360" w:lineRule="auto"/>
              <w:rPr>
                <w:kern w:val="0"/>
                <w:sz w:val="24"/>
                <w:szCs w:val="24"/>
              </w:rPr>
            </w:pPr>
            <w:r>
              <w:rPr>
                <w:rFonts w:hint="eastAsia"/>
                <w:kern w:val="0"/>
                <w:sz w:val="24"/>
                <w:szCs w:val="24"/>
              </w:rPr>
              <w:t>注：如投标人提供的业绩为同一甲方单位的业绩，则不重复享受得分。</w:t>
            </w:r>
          </w:p>
        </w:tc>
        <w:tc>
          <w:tcPr>
            <w:tcW w:w="1143" w:type="dxa"/>
            <w:vAlign w:val="center"/>
          </w:tcPr>
          <w:p w14:paraId="36FAD537">
            <w:pPr>
              <w:widowControl/>
              <w:adjustRightInd w:val="0"/>
              <w:snapToGrid w:val="0"/>
              <w:spacing w:line="360" w:lineRule="auto"/>
              <w:jc w:val="center"/>
              <w:rPr>
                <w:kern w:val="0"/>
                <w:sz w:val="24"/>
                <w:szCs w:val="24"/>
              </w:rPr>
            </w:pPr>
            <w:r>
              <w:rPr>
                <w:rFonts w:hint="eastAsia"/>
                <w:kern w:val="0"/>
                <w:sz w:val="24"/>
                <w:szCs w:val="24"/>
              </w:rPr>
              <w:t>10</w:t>
            </w:r>
          </w:p>
        </w:tc>
      </w:tr>
      <w:tr w14:paraId="2B56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63" w:type="dxa"/>
            <w:noWrap/>
            <w:vAlign w:val="center"/>
          </w:tcPr>
          <w:p w14:paraId="5FB31036">
            <w:pPr>
              <w:widowControl/>
              <w:adjustRightInd w:val="0"/>
              <w:snapToGrid w:val="0"/>
              <w:spacing w:line="360" w:lineRule="auto"/>
              <w:jc w:val="center"/>
              <w:rPr>
                <w:kern w:val="0"/>
                <w:sz w:val="24"/>
                <w:szCs w:val="24"/>
              </w:rPr>
            </w:pPr>
            <w:r>
              <w:rPr>
                <w:rFonts w:hint="eastAsia"/>
                <w:kern w:val="0"/>
                <w:sz w:val="24"/>
                <w:szCs w:val="24"/>
              </w:rPr>
              <w:t>2</w:t>
            </w:r>
          </w:p>
        </w:tc>
        <w:tc>
          <w:tcPr>
            <w:tcW w:w="1419" w:type="dxa"/>
            <w:vAlign w:val="center"/>
          </w:tcPr>
          <w:p w14:paraId="3FE71FC6">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vAlign w:val="center"/>
          </w:tcPr>
          <w:p w14:paraId="0D878067">
            <w:pPr>
              <w:widowControl/>
              <w:adjustRightInd w:val="0"/>
              <w:snapToGrid w:val="0"/>
              <w:spacing w:line="360" w:lineRule="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4DE3C425">
            <w:pPr>
              <w:widowControl/>
              <w:adjustRightInd w:val="0"/>
              <w:snapToGrid w:val="0"/>
              <w:spacing w:line="360" w:lineRule="auto"/>
              <w:rPr>
                <w:color w:val="auto"/>
                <w:kern w:val="0"/>
                <w:sz w:val="24"/>
                <w:szCs w:val="24"/>
              </w:rPr>
            </w:pPr>
            <w:r>
              <w:rPr>
                <w:rFonts w:hint="eastAsia"/>
                <w:color w:val="auto"/>
                <w:kern w:val="0"/>
                <w:sz w:val="24"/>
                <w:szCs w:val="24"/>
              </w:rPr>
              <w:t>具备1个证书得1分，最高3分</w:t>
            </w:r>
          </w:p>
        </w:tc>
        <w:tc>
          <w:tcPr>
            <w:tcW w:w="1143" w:type="dxa"/>
            <w:vAlign w:val="center"/>
          </w:tcPr>
          <w:p w14:paraId="178D13EA">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297E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2C4DAC4A">
            <w:pPr>
              <w:widowControl/>
              <w:adjustRightInd w:val="0"/>
              <w:snapToGrid w:val="0"/>
              <w:spacing w:line="360" w:lineRule="auto"/>
              <w:jc w:val="center"/>
              <w:rPr>
                <w:rFonts w:hint="eastAsia" w:eastAsia="宋体"/>
                <w:kern w:val="0"/>
                <w:sz w:val="24"/>
                <w:szCs w:val="24"/>
                <w:lang w:eastAsia="zh-CN"/>
              </w:rPr>
            </w:pPr>
            <w:r>
              <w:rPr>
                <w:rFonts w:hint="eastAsia"/>
                <w:kern w:val="0"/>
                <w:sz w:val="24"/>
                <w:szCs w:val="24"/>
                <w:lang w:val="en-US" w:eastAsia="zh-CN"/>
              </w:rPr>
              <w:t>3</w:t>
            </w:r>
          </w:p>
        </w:tc>
        <w:tc>
          <w:tcPr>
            <w:tcW w:w="1419" w:type="dxa"/>
            <w:vAlign w:val="center"/>
          </w:tcPr>
          <w:p w14:paraId="1BFDD20F">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vAlign w:val="center"/>
          </w:tcPr>
          <w:p w14:paraId="433B70B0">
            <w:pPr>
              <w:widowControl/>
              <w:numPr>
                <w:ilvl w:val="0"/>
                <w:numId w:val="3"/>
              </w:numPr>
              <w:adjustRightInd w:val="0"/>
              <w:snapToGrid w:val="0"/>
              <w:spacing w:line="360" w:lineRule="auto"/>
              <w:rPr>
                <w:rFonts w:hint="eastAsia"/>
                <w:kern w:val="0"/>
                <w:sz w:val="24"/>
                <w:szCs w:val="24"/>
              </w:rPr>
            </w:pPr>
            <w:r>
              <w:rPr>
                <w:rFonts w:hint="eastAsia"/>
                <w:kern w:val="0"/>
                <w:sz w:val="24"/>
                <w:szCs w:val="24"/>
              </w:rPr>
              <w:t>承诺全部物业人员均满足项目需求书人员岗位要求且身体健康得</w:t>
            </w:r>
            <w:r>
              <w:rPr>
                <w:rFonts w:hint="eastAsia"/>
                <w:kern w:val="0"/>
                <w:sz w:val="24"/>
                <w:szCs w:val="24"/>
                <w:lang w:val="en-US" w:eastAsia="zh-CN"/>
              </w:rPr>
              <w:t>17</w:t>
            </w:r>
            <w:r>
              <w:rPr>
                <w:rFonts w:hint="eastAsia"/>
                <w:kern w:val="0"/>
                <w:sz w:val="24"/>
                <w:szCs w:val="24"/>
              </w:rPr>
              <w:t>分，否则0分。</w:t>
            </w:r>
          </w:p>
          <w:p w14:paraId="262D075A">
            <w:pPr>
              <w:widowControl/>
              <w:numPr>
                <w:ilvl w:val="0"/>
                <w:numId w:val="3"/>
              </w:numPr>
              <w:adjustRightInd w:val="0"/>
              <w:snapToGrid w:val="0"/>
              <w:spacing w:line="360" w:lineRule="auto"/>
              <w:ind w:left="0" w:leftChars="0" w:firstLine="0" w:firstLineChars="0"/>
              <w:rPr>
                <w:rFonts w:hint="eastAsia"/>
                <w:kern w:val="0"/>
                <w:sz w:val="24"/>
                <w:szCs w:val="24"/>
              </w:rPr>
            </w:pPr>
            <w:r>
              <w:rPr>
                <w:rFonts w:hint="eastAsia"/>
                <w:kern w:val="0"/>
                <w:sz w:val="24"/>
                <w:szCs w:val="24"/>
              </w:rPr>
              <w:t>保安员：拟投入本项目的保安员具备公安机关盖章的《保安员》证，且提供上述人员上述证书扫描件，每个提供合格的证书扫描件的上述人员得</w:t>
            </w:r>
            <w:r>
              <w:rPr>
                <w:rFonts w:hint="eastAsia"/>
                <w:kern w:val="0"/>
                <w:sz w:val="24"/>
                <w:szCs w:val="24"/>
                <w:lang w:val="en-US" w:eastAsia="zh-CN"/>
              </w:rPr>
              <w:t>2</w:t>
            </w:r>
            <w:r>
              <w:rPr>
                <w:rFonts w:hint="eastAsia"/>
                <w:kern w:val="0"/>
                <w:sz w:val="24"/>
                <w:szCs w:val="24"/>
              </w:rPr>
              <w:t>，最多</w:t>
            </w:r>
            <w:r>
              <w:rPr>
                <w:rFonts w:hint="eastAsia"/>
                <w:kern w:val="0"/>
                <w:sz w:val="24"/>
                <w:szCs w:val="24"/>
                <w:lang w:val="en-US" w:eastAsia="zh-CN"/>
              </w:rPr>
              <w:t>6</w:t>
            </w:r>
            <w:r>
              <w:rPr>
                <w:rFonts w:hint="eastAsia"/>
                <w:kern w:val="0"/>
                <w:sz w:val="24"/>
                <w:szCs w:val="24"/>
              </w:rPr>
              <w:t>分；</w:t>
            </w:r>
          </w:p>
          <w:p w14:paraId="4499CF0E">
            <w:pPr>
              <w:widowControl/>
              <w:numPr>
                <w:ilvl w:val="0"/>
                <w:numId w:val="3"/>
              </w:numPr>
              <w:adjustRightInd w:val="0"/>
              <w:snapToGrid w:val="0"/>
              <w:spacing w:line="360" w:lineRule="auto"/>
              <w:ind w:left="0" w:leftChars="0" w:firstLine="0" w:firstLineChars="0"/>
              <w:rPr>
                <w:rFonts w:hint="eastAsia"/>
                <w:kern w:val="0"/>
                <w:sz w:val="24"/>
                <w:szCs w:val="24"/>
              </w:rPr>
            </w:pPr>
            <w:r>
              <w:rPr>
                <w:rFonts w:hint="eastAsia"/>
                <w:bCs/>
                <w:kern w:val="0"/>
                <w:sz w:val="24"/>
                <w:szCs w:val="24"/>
              </w:rPr>
              <w:t>电工</w:t>
            </w:r>
            <w:r>
              <w:rPr>
                <w:rFonts w:hint="eastAsia"/>
                <w:kern w:val="0"/>
                <w:sz w:val="24"/>
                <w:szCs w:val="24"/>
              </w:rPr>
              <w:t>：拟投入本项目的电工同时具备《特种作业操作证（低压电工作业）》和《特种作业操作证（高压电工作业）》证书，且提供上述人员上述双证书扫描件，每个提供合格的双证书扫描件的上述人员得</w:t>
            </w:r>
            <w:r>
              <w:rPr>
                <w:rFonts w:hint="eastAsia"/>
                <w:kern w:val="0"/>
                <w:sz w:val="24"/>
                <w:szCs w:val="24"/>
                <w:lang w:val="en-US" w:eastAsia="zh-CN"/>
              </w:rPr>
              <w:t>2</w:t>
            </w:r>
            <w:r>
              <w:rPr>
                <w:rFonts w:hint="eastAsia"/>
                <w:kern w:val="0"/>
                <w:sz w:val="24"/>
                <w:szCs w:val="24"/>
              </w:rPr>
              <w:t>分，最多2分；</w:t>
            </w:r>
          </w:p>
          <w:p w14:paraId="39049131">
            <w:pPr>
              <w:widowControl/>
              <w:numPr>
                <w:ilvl w:val="0"/>
                <w:numId w:val="3"/>
              </w:numPr>
              <w:adjustRightInd w:val="0"/>
              <w:snapToGrid w:val="0"/>
              <w:spacing w:line="360" w:lineRule="auto"/>
              <w:ind w:left="0" w:leftChars="0" w:firstLine="0" w:firstLineChars="0"/>
              <w:rPr>
                <w:rFonts w:hint="eastAsia"/>
                <w:kern w:val="0"/>
                <w:sz w:val="24"/>
                <w:szCs w:val="24"/>
              </w:rPr>
            </w:pPr>
            <w:r>
              <w:rPr>
                <w:rFonts w:hint="eastAsia"/>
                <w:bCs/>
                <w:kern w:val="0"/>
                <w:sz w:val="24"/>
                <w:szCs w:val="24"/>
              </w:rPr>
              <w:t>电工</w:t>
            </w:r>
            <w:r>
              <w:rPr>
                <w:rFonts w:hint="eastAsia"/>
                <w:kern w:val="0"/>
                <w:sz w:val="24"/>
                <w:szCs w:val="24"/>
              </w:rPr>
              <w:t>：提供上述电工（已提供合格</w:t>
            </w:r>
            <w:r>
              <w:rPr>
                <w:rFonts w:hint="eastAsia"/>
                <w:kern w:val="0"/>
                <w:sz w:val="24"/>
                <w:szCs w:val="24"/>
                <w:lang w:eastAsia="zh-CN"/>
              </w:rPr>
              <w:t>双</w:t>
            </w:r>
            <w:r>
              <w:rPr>
                <w:rFonts w:hint="eastAsia"/>
                <w:kern w:val="0"/>
                <w:sz w:val="24"/>
                <w:szCs w:val="24"/>
              </w:rPr>
              <w:t>证书扫描件的）开标日当月或上一月的由投标单位或其分公司缴纳社会保险证明扫描件，每个合格的人员社保证明扫描件得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r>
              <w:rPr>
                <w:rFonts w:hint="eastAsia"/>
                <w:kern w:val="0"/>
                <w:sz w:val="24"/>
                <w:szCs w:val="24"/>
                <w:lang w:eastAsia="zh-CN"/>
              </w:rPr>
              <w:t>。</w:t>
            </w:r>
          </w:p>
        </w:tc>
        <w:tc>
          <w:tcPr>
            <w:tcW w:w="1143" w:type="dxa"/>
            <w:vAlign w:val="center"/>
          </w:tcPr>
          <w:p w14:paraId="647D9C7D">
            <w:pPr>
              <w:widowControl/>
              <w:adjustRightInd w:val="0"/>
              <w:snapToGrid w:val="0"/>
              <w:spacing w:line="360" w:lineRule="auto"/>
              <w:jc w:val="center"/>
              <w:rPr>
                <w:rFonts w:hint="default" w:eastAsia="宋体"/>
                <w:color w:val="FF0000"/>
                <w:kern w:val="0"/>
                <w:sz w:val="24"/>
                <w:szCs w:val="24"/>
                <w:lang w:val="en-US" w:eastAsia="zh-CN"/>
              </w:rPr>
            </w:pPr>
            <w:r>
              <w:rPr>
                <w:rFonts w:hint="eastAsia"/>
                <w:color w:val="auto"/>
                <w:kern w:val="0"/>
                <w:sz w:val="24"/>
                <w:szCs w:val="24"/>
                <w:lang w:val="en-US" w:eastAsia="zh-CN"/>
              </w:rPr>
              <w:t>27</w:t>
            </w:r>
          </w:p>
        </w:tc>
      </w:tr>
      <w:tr w14:paraId="070D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noWrap/>
            <w:vAlign w:val="center"/>
          </w:tcPr>
          <w:p w14:paraId="453A77D6">
            <w:pPr>
              <w:widowControl/>
              <w:adjustRightInd w:val="0"/>
              <w:snapToGrid w:val="0"/>
              <w:spacing w:line="360" w:lineRule="auto"/>
              <w:jc w:val="center"/>
              <w:rPr>
                <w:rFonts w:hint="eastAsia" w:eastAsia="宋体"/>
                <w:kern w:val="0"/>
                <w:sz w:val="24"/>
                <w:szCs w:val="24"/>
                <w:lang w:eastAsia="zh-CN"/>
              </w:rPr>
            </w:pPr>
            <w:r>
              <w:rPr>
                <w:rFonts w:hint="eastAsia"/>
                <w:kern w:val="0"/>
                <w:sz w:val="24"/>
                <w:szCs w:val="24"/>
                <w:lang w:val="en-US" w:eastAsia="zh-CN"/>
              </w:rPr>
              <w:t>4</w:t>
            </w:r>
          </w:p>
        </w:tc>
        <w:tc>
          <w:tcPr>
            <w:tcW w:w="1419" w:type="dxa"/>
            <w:vAlign w:val="center"/>
          </w:tcPr>
          <w:p w14:paraId="0D4511C3">
            <w:pPr>
              <w:widowControl/>
              <w:adjustRightInd w:val="0"/>
              <w:snapToGrid w:val="0"/>
              <w:spacing w:line="360" w:lineRule="auto"/>
              <w:jc w:val="center"/>
              <w:rPr>
                <w:kern w:val="0"/>
                <w:sz w:val="24"/>
                <w:szCs w:val="24"/>
              </w:rPr>
            </w:pPr>
            <w:r>
              <w:rPr>
                <w:sz w:val="24"/>
              </w:rPr>
              <w:t>人员培训方案</w:t>
            </w:r>
          </w:p>
        </w:tc>
        <w:tc>
          <w:tcPr>
            <w:tcW w:w="7311" w:type="dxa"/>
            <w:vAlign w:val="center"/>
          </w:tcPr>
          <w:p w14:paraId="1A6ED453">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14:paraId="68DB47DB">
            <w:pPr>
              <w:widowControl/>
              <w:adjustRightInd w:val="0"/>
              <w:snapToGrid w:val="0"/>
              <w:spacing w:line="360" w:lineRule="auto"/>
              <w:rPr>
                <w:kern w:val="0"/>
                <w:sz w:val="24"/>
                <w:szCs w:val="24"/>
              </w:rPr>
            </w:pPr>
            <w:r>
              <w:rPr>
                <w:rFonts w:hint="eastAsia"/>
                <w:kern w:val="0"/>
                <w:sz w:val="24"/>
                <w:szCs w:val="24"/>
              </w:rPr>
              <w:t>每提供上述1项内容的得</w:t>
            </w:r>
            <w:r>
              <w:rPr>
                <w:rFonts w:hint="eastAsia"/>
                <w:kern w:val="0"/>
                <w:sz w:val="24"/>
                <w:szCs w:val="24"/>
                <w:lang w:val="en-US" w:eastAsia="zh-CN"/>
              </w:rPr>
              <w:t>1</w:t>
            </w:r>
            <w:r>
              <w:rPr>
                <w:rFonts w:hint="eastAsia"/>
                <w:kern w:val="0"/>
                <w:sz w:val="24"/>
                <w:szCs w:val="24"/>
              </w:rPr>
              <w:t>分，最多</w:t>
            </w:r>
            <w:r>
              <w:rPr>
                <w:rFonts w:hint="eastAsia"/>
                <w:kern w:val="0"/>
                <w:sz w:val="24"/>
                <w:szCs w:val="24"/>
                <w:lang w:val="en-US" w:eastAsia="zh-CN"/>
              </w:rPr>
              <w:t>6</w:t>
            </w:r>
            <w:r>
              <w:rPr>
                <w:rFonts w:hint="eastAsia"/>
                <w:kern w:val="0"/>
                <w:sz w:val="24"/>
                <w:szCs w:val="24"/>
              </w:rPr>
              <w:t>分。</w:t>
            </w:r>
          </w:p>
        </w:tc>
        <w:tc>
          <w:tcPr>
            <w:tcW w:w="1143" w:type="dxa"/>
            <w:vAlign w:val="center"/>
          </w:tcPr>
          <w:p w14:paraId="5DCF2121">
            <w:pPr>
              <w:widowControl/>
              <w:adjustRightInd w:val="0"/>
              <w:snapToGrid w:val="0"/>
              <w:spacing w:line="360" w:lineRule="auto"/>
              <w:jc w:val="center"/>
              <w:rPr>
                <w:rFonts w:hint="eastAsia" w:eastAsia="宋体"/>
                <w:kern w:val="0"/>
                <w:sz w:val="24"/>
                <w:szCs w:val="24"/>
                <w:lang w:eastAsia="zh-CN"/>
              </w:rPr>
            </w:pPr>
            <w:r>
              <w:rPr>
                <w:rFonts w:hint="eastAsia"/>
                <w:kern w:val="0"/>
                <w:sz w:val="24"/>
                <w:szCs w:val="24"/>
                <w:lang w:val="en-US" w:eastAsia="zh-CN"/>
              </w:rPr>
              <w:t>6</w:t>
            </w:r>
          </w:p>
        </w:tc>
      </w:tr>
      <w:tr w14:paraId="281C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63" w:type="dxa"/>
            <w:noWrap/>
            <w:vAlign w:val="center"/>
          </w:tcPr>
          <w:p w14:paraId="601A2556">
            <w:pPr>
              <w:widowControl/>
              <w:adjustRightInd w:val="0"/>
              <w:snapToGrid w:val="0"/>
              <w:spacing w:line="360" w:lineRule="auto"/>
              <w:jc w:val="center"/>
              <w:rPr>
                <w:rFonts w:hint="eastAsia" w:eastAsia="宋体"/>
                <w:kern w:val="0"/>
                <w:sz w:val="24"/>
                <w:szCs w:val="24"/>
                <w:lang w:eastAsia="zh-CN"/>
              </w:rPr>
            </w:pPr>
            <w:r>
              <w:rPr>
                <w:rFonts w:hint="eastAsia"/>
                <w:kern w:val="0"/>
                <w:sz w:val="24"/>
                <w:szCs w:val="24"/>
                <w:lang w:val="en-US" w:eastAsia="zh-CN"/>
              </w:rPr>
              <w:t>5</w:t>
            </w:r>
          </w:p>
        </w:tc>
        <w:tc>
          <w:tcPr>
            <w:tcW w:w="1419" w:type="dxa"/>
            <w:vAlign w:val="center"/>
          </w:tcPr>
          <w:p w14:paraId="4AA9D6B4">
            <w:pPr>
              <w:widowControl/>
              <w:adjustRightInd w:val="0"/>
              <w:snapToGrid w:val="0"/>
              <w:spacing w:line="360" w:lineRule="auto"/>
              <w:jc w:val="center"/>
              <w:rPr>
                <w:sz w:val="24"/>
              </w:rPr>
            </w:pPr>
            <w:r>
              <w:rPr>
                <w:rFonts w:hint="eastAsia"/>
                <w:kern w:val="0"/>
                <w:sz w:val="24"/>
                <w:szCs w:val="24"/>
              </w:rPr>
              <w:t>保洁耗材评价</w:t>
            </w:r>
          </w:p>
        </w:tc>
        <w:tc>
          <w:tcPr>
            <w:tcW w:w="7311" w:type="dxa"/>
            <w:vAlign w:val="center"/>
          </w:tcPr>
          <w:p w14:paraId="6B51E36A">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提供具有检测资质的第三方检测机构出具的针对拟投入本项目保洁耗材的CMA检测报告扫描件，每个合格的扫描件得0.5分，最多1分。</w:t>
            </w:r>
          </w:p>
        </w:tc>
        <w:tc>
          <w:tcPr>
            <w:tcW w:w="1143" w:type="dxa"/>
            <w:vAlign w:val="center"/>
          </w:tcPr>
          <w:p w14:paraId="1356FEC9">
            <w:pPr>
              <w:widowControl/>
              <w:adjustRightInd w:val="0"/>
              <w:snapToGrid w:val="0"/>
              <w:spacing w:line="360" w:lineRule="auto"/>
              <w:jc w:val="center"/>
              <w:rPr>
                <w:kern w:val="0"/>
                <w:sz w:val="24"/>
                <w:szCs w:val="24"/>
              </w:rPr>
            </w:pPr>
            <w:r>
              <w:rPr>
                <w:rFonts w:hint="eastAsia"/>
                <w:kern w:val="0"/>
                <w:sz w:val="24"/>
                <w:szCs w:val="24"/>
              </w:rPr>
              <w:t>1</w:t>
            </w:r>
          </w:p>
        </w:tc>
      </w:tr>
      <w:tr w14:paraId="1C7B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noWrap/>
            <w:vAlign w:val="center"/>
          </w:tcPr>
          <w:p w14:paraId="2FA055A1">
            <w:pPr>
              <w:widowControl/>
              <w:adjustRightInd w:val="0"/>
              <w:snapToGrid w:val="0"/>
              <w:spacing w:line="360" w:lineRule="auto"/>
              <w:jc w:val="center"/>
              <w:rPr>
                <w:kern w:val="0"/>
                <w:sz w:val="24"/>
                <w:szCs w:val="24"/>
              </w:rPr>
            </w:pPr>
            <w:r>
              <w:rPr>
                <w:kern w:val="0"/>
                <w:sz w:val="24"/>
                <w:szCs w:val="24"/>
              </w:rPr>
              <w:t>第三部分 主观分（</w:t>
            </w:r>
            <w:r>
              <w:rPr>
                <w:rFonts w:hint="eastAsia"/>
                <w:kern w:val="0"/>
                <w:sz w:val="24"/>
                <w:szCs w:val="24"/>
              </w:rPr>
              <w:t>33</w:t>
            </w:r>
            <w:r>
              <w:rPr>
                <w:kern w:val="0"/>
                <w:sz w:val="24"/>
                <w:szCs w:val="24"/>
              </w:rPr>
              <w:t>分）</w:t>
            </w:r>
          </w:p>
        </w:tc>
        <w:tc>
          <w:tcPr>
            <w:tcW w:w="1143" w:type="dxa"/>
            <w:vAlign w:val="center"/>
          </w:tcPr>
          <w:p w14:paraId="2426EDE2">
            <w:pPr>
              <w:widowControl/>
              <w:adjustRightInd w:val="0"/>
              <w:snapToGrid w:val="0"/>
              <w:spacing w:line="360" w:lineRule="auto"/>
              <w:jc w:val="center"/>
              <w:rPr>
                <w:kern w:val="0"/>
                <w:sz w:val="24"/>
                <w:szCs w:val="24"/>
              </w:rPr>
            </w:pPr>
            <w:r>
              <w:rPr>
                <w:kern w:val="0"/>
                <w:sz w:val="24"/>
                <w:szCs w:val="24"/>
              </w:rPr>
              <w:t>分值</w:t>
            </w:r>
          </w:p>
        </w:tc>
      </w:tr>
      <w:tr w14:paraId="00EA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55BD9252">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14:paraId="79710274">
            <w:pPr>
              <w:widowControl/>
              <w:adjustRightInd w:val="0"/>
              <w:snapToGrid w:val="0"/>
              <w:spacing w:line="360" w:lineRule="auto"/>
              <w:jc w:val="center"/>
              <w:rPr>
                <w:kern w:val="0"/>
                <w:sz w:val="24"/>
                <w:szCs w:val="24"/>
              </w:rPr>
            </w:pPr>
            <w:r>
              <w:rPr>
                <w:rFonts w:hint="eastAsia"/>
                <w:kern w:val="0"/>
                <w:sz w:val="24"/>
                <w:szCs w:val="24"/>
              </w:rPr>
              <w:t>针对本项目特点的人员、岗位配置方案评价</w:t>
            </w:r>
          </w:p>
        </w:tc>
        <w:tc>
          <w:tcPr>
            <w:tcW w:w="7311" w:type="dxa"/>
            <w:vAlign w:val="center"/>
          </w:tcPr>
          <w:p w14:paraId="1826C828">
            <w:pPr>
              <w:widowControl/>
              <w:adjustRightInd w:val="0"/>
              <w:snapToGrid w:val="0"/>
              <w:spacing w:line="360" w:lineRule="auto"/>
              <w:rPr>
                <w:kern w:val="0"/>
                <w:sz w:val="24"/>
                <w:szCs w:val="24"/>
              </w:rPr>
            </w:pPr>
            <w:r>
              <w:rPr>
                <w:rFonts w:hint="eastAsia"/>
                <w:kern w:val="0"/>
                <w:sz w:val="24"/>
                <w:szCs w:val="24"/>
              </w:rPr>
              <w:t>人员配置方案满足招标文件要求，内容无瑕疵：5分；</w:t>
            </w:r>
          </w:p>
          <w:p w14:paraId="12CAD585">
            <w:pPr>
              <w:widowControl/>
              <w:adjustRightInd w:val="0"/>
              <w:snapToGrid w:val="0"/>
              <w:spacing w:line="360" w:lineRule="auto"/>
              <w:rPr>
                <w:kern w:val="0"/>
                <w:sz w:val="24"/>
                <w:szCs w:val="24"/>
              </w:rPr>
            </w:pPr>
            <w:r>
              <w:rPr>
                <w:rFonts w:hint="eastAsia"/>
                <w:kern w:val="0"/>
                <w:sz w:val="24"/>
                <w:szCs w:val="24"/>
              </w:rPr>
              <w:t>人员配置方案满足招标文件要求，但内容存在1处瑕疵：4分；</w:t>
            </w:r>
          </w:p>
          <w:p w14:paraId="3460ABD4">
            <w:pPr>
              <w:widowControl/>
              <w:adjustRightInd w:val="0"/>
              <w:snapToGrid w:val="0"/>
              <w:spacing w:line="360" w:lineRule="auto"/>
              <w:rPr>
                <w:kern w:val="0"/>
                <w:sz w:val="24"/>
                <w:szCs w:val="24"/>
              </w:rPr>
            </w:pPr>
            <w:r>
              <w:rPr>
                <w:rFonts w:hint="eastAsia"/>
                <w:kern w:val="0"/>
                <w:sz w:val="24"/>
                <w:szCs w:val="24"/>
              </w:rPr>
              <w:t>人员配置方案满足招标文件要求，但内容存在2处瑕疵：3分；</w:t>
            </w:r>
          </w:p>
          <w:p w14:paraId="78CE2284">
            <w:pPr>
              <w:widowControl/>
              <w:adjustRightInd w:val="0"/>
              <w:snapToGrid w:val="0"/>
              <w:spacing w:line="360" w:lineRule="auto"/>
              <w:rPr>
                <w:color w:val="FF0000"/>
                <w:kern w:val="0"/>
                <w:sz w:val="24"/>
                <w:szCs w:val="24"/>
              </w:rPr>
            </w:pPr>
            <w:r>
              <w:rPr>
                <w:rFonts w:hint="eastAsia"/>
                <w:kern w:val="0"/>
                <w:sz w:val="24"/>
                <w:szCs w:val="24"/>
              </w:rPr>
              <w:t>其他：0分；</w:t>
            </w:r>
          </w:p>
        </w:tc>
        <w:tc>
          <w:tcPr>
            <w:tcW w:w="1143" w:type="dxa"/>
            <w:vAlign w:val="center"/>
          </w:tcPr>
          <w:p w14:paraId="114EF96F">
            <w:pPr>
              <w:widowControl/>
              <w:adjustRightInd w:val="0"/>
              <w:snapToGrid w:val="0"/>
              <w:spacing w:line="360" w:lineRule="auto"/>
              <w:jc w:val="center"/>
              <w:rPr>
                <w:kern w:val="0"/>
                <w:sz w:val="24"/>
                <w:szCs w:val="24"/>
              </w:rPr>
            </w:pPr>
            <w:r>
              <w:rPr>
                <w:rFonts w:hint="eastAsia"/>
                <w:kern w:val="0"/>
                <w:sz w:val="24"/>
                <w:szCs w:val="24"/>
              </w:rPr>
              <w:t>5</w:t>
            </w:r>
          </w:p>
        </w:tc>
      </w:tr>
      <w:tr w14:paraId="54D1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3CA5F56D">
            <w:pPr>
              <w:widowControl/>
              <w:adjustRightInd w:val="0"/>
              <w:snapToGrid w:val="0"/>
              <w:spacing w:line="360" w:lineRule="auto"/>
              <w:jc w:val="center"/>
              <w:rPr>
                <w:kern w:val="0"/>
                <w:sz w:val="24"/>
                <w:szCs w:val="24"/>
              </w:rPr>
            </w:pPr>
            <w:r>
              <w:rPr>
                <w:kern w:val="0"/>
                <w:sz w:val="24"/>
                <w:szCs w:val="24"/>
              </w:rPr>
              <w:t>2</w:t>
            </w:r>
          </w:p>
        </w:tc>
        <w:tc>
          <w:tcPr>
            <w:tcW w:w="1419" w:type="dxa"/>
            <w:vAlign w:val="center"/>
          </w:tcPr>
          <w:p w14:paraId="252C175A">
            <w:pPr>
              <w:widowControl/>
              <w:adjustRightInd w:val="0"/>
              <w:snapToGrid w:val="0"/>
              <w:spacing w:line="360" w:lineRule="auto"/>
              <w:jc w:val="center"/>
              <w:rPr>
                <w:kern w:val="0"/>
                <w:sz w:val="24"/>
                <w:szCs w:val="24"/>
              </w:rPr>
            </w:pPr>
            <w:r>
              <w:rPr>
                <w:rFonts w:hint="eastAsia"/>
                <w:color w:val="000000" w:themeColor="text1"/>
                <w:kern w:val="0"/>
                <w:sz w:val="24"/>
                <w:szCs w:val="24"/>
                <w14:textFill>
                  <w14:solidFill>
                    <w14:schemeClr w14:val="tx1"/>
                  </w14:solidFill>
                </w14:textFill>
              </w:rPr>
              <w:t>针对本项目特点的专业化管理方案评价</w:t>
            </w:r>
          </w:p>
        </w:tc>
        <w:tc>
          <w:tcPr>
            <w:tcW w:w="7311" w:type="dxa"/>
            <w:vAlign w:val="center"/>
          </w:tcPr>
          <w:p w14:paraId="2DCC09E1">
            <w:pPr>
              <w:widowControl/>
              <w:adjustRightInd w:val="0"/>
              <w:snapToGrid w:val="0"/>
              <w:spacing w:line="360" w:lineRule="auto"/>
              <w:rPr>
                <w:kern w:val="0"/>
                <w:sz w:val="24"/>
                <w:szCs w:val="24"/>
              </w:rPr>
            </w:pPr>
            <w:r>
              <w:rPr>
                <w:rFonts w:hint="eastAsia"/>
                <w:kern w:val="0"/>
                <w:sz w:val="24"/>
                <w:szCs w:val="24"/>
              </w:rPr>
              <w:t>方案满足招标文件要求，内容无瑕疵：5分；</w:t>
            </w:r>
          </w:p>
          <w:p w14:paraId="5EFC9E1B">
            <w:pPr>
              <w:widowControl/>
              <w:adjustRightInd w:val="0"/>
              <w:snapToGrid w:val="0"/>
              <w:spacing w:line="360" w:lineRule="auto"/>
              <w:rPr>
                <w:kern w:val="0"/>
                <w:sz w:val="24"/>
                <w:szCs w:val="24"/>
              </w:rPr>
            </w:pPr>
            <w:r>
              <w:rPr>
                <w:rFonts w:hint="eastAsia"/>
                <w:kern w:val="0"/>
                <w:sz w:val="24"/>
                <w:szCs w:val="24"/>
              </w:rPr>
              <w:t>方案满足招标文件要求，但内容存在1处瑕疵：4分；</w:t>
            </w:r>
          </w:p>
          <w:p w14:paraId="10DA969E">
            <w:pPr>
              <w:widowControl/>
              <w:adjustRightInd w:val="0"/>
              <w:snapToGrid w:val="0"/>
              <w:spacing w:line="360" w:lineRule="auto"/>
              <w:rPr>
                <w:kern w:val="0"/>
                <w:sz w:val="24"/>
                <w:szCs w:val="24"/>
              </w:rPr>
            </w:pPr>
            <w:r>
              <w:rPr>
                <w:rFonts w:hint="eastAsia"/>
                <w:kern w:val="0"/>
                <w:sz w:val="24"/>
                <w:szCs w:val="24"/>
              </w:rPr>
              <w:t>方案满足招标文件要求，但内容存在2处瑕疵：3分；</w:t>
            </w:r>
          </w:p>
          <w:p w14:paraId="77C7A24C">
            <w:pPr>
              <w:widowControl/>
              <w:adjustRightInd w:val="0"/>
              <w:snapToGrid w:val="0"/>
              <w:spacing w:line="360" w:lineRule="auto"/>
              <w:rPr>
                <w:kern w:val="0"/>
                <w:sz w:val="24"/>
                <w:szCs w:val="24"/>
              </w:rPr>
            </w:pPr>
            <w:r>
              <w:rPr>
                <w:rFonts w:hint="eastAsia"/>
                <w:kern w:val="0"/>
                <w:sz w:val="24"/>
                <w:szCs w:val="24"/>
              </w:rPr>
              <w:t>其他：0分；</w:t>
            </w:r>
          </w:p>
        </w:tc>
        <w:tc>
          <w:tcPr>
            <w:tcW w:w="1143" w:type="dxa"/>
            <w:vAlign w:val="center"/>
          </w:tcPr>
          <w:p w14:paraId="5FC16FA8">
            <w:pPr>
              <w:widowControl/>
              <w:adjustRightInd w:val="0"/>
              <w:snapToGrid w:val="0"/>
              <w:spacing w:line="360" w:lineRule="auto"/>
              <w:jc w:val="center"/>
              <w:rPr>
                <w:kern w:val="0"/>
                <w:sz w:val="24"/>
                <w:szCs w:val="24"/>
              </w:rPr>
            </w:pPr>
            <w:r>
              <w:rPr>
                <w:rFonts w:hint="eastAsia"/>
                <w:kern w:val="0"/>
                <w:sz w:val="24"/>
                <w:szCs w:val="24"/>
              </w:rPr>
              <w:t>5</w:t>
            </w:r>
          </w:p>
        </w:tc>
      </w:tr>
      <w:tr w14:paraId="6170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noWrap/>
            <w:vAlign w:val="center"/>
          </w:tcPr>
          <w:p w14:paraId="4276C832">
            <w:pPr>
              <w:widowControl/>
              <w:adjustRightInd w:val="0"/>
              <w:snapToGrid w:val="0"/>
              <w:spacing w:line="360" w:lineRule="auto"/>
              <w:jc w:val="center"/>
              <w:rPr>
                <w:kern w:val="0"/>
                <w:sz w:val="24"/>
                <w:szCs w:val="24"/>
              </w:rPr>
            </w:pPr>
            <w:r>
              <w:rPr>
                <w:kern w:val="0"/>
                <w:sz w:val="24"/>
                <w:szCs w:val="24"/>
              </w:rPr>
              <w:t>3</w:t>
            </w:r>
          </w:p>
        </w:tc>
        <w:tc>
          <w:tcPr>
            <w:tcW w:w="1419" w:type="dxa"/>
            <w:vAlign w:val="center"/>
          </w:tcPr>
          <w:p w14:paraId="15C9FBFA">
            <w:pPr>
              <w:widowControl/>
              <w:adjustRightInd w:val="0"/>
              <w:snapToGrid w:val="0"/>
              <w:spacing w:line="360" w:lineRule="auto"/>
              <w:jc w:val="center"/>
              <w:rPr>
                <w:kern w:val="0"/>
                <w:sz w:val="24"/>
                <w:szCs w:val="24"/>
              </w:rPr>
            </w:pPr>
            <w:r>
              <w:rPr>
                <w:rFonts w:hint="eastAsia"/>
                <w:sz w:val="24"/>
              </w:rPr>
              <w:t>针对本项目特点的重点、难点的理解评价</w:t>
            </w:r>
          </w:p>
        </w:tc>
        <w:tc>
          <w:tcPr>
            <w:tcW w:w="7311" w:type="dxa"/>
            <w:vAlign w:val="center"/>
          </w:tcPr>
          <w:p w14:paraId="02790F8F">
            <w:pPr>
              <w:widowControl/>
              <w:adjustRightInd w:val="0"/>
              <w:snapToGrid w:val="0"/>
              <w:spacing w:line="360" w:lineRule="auto"/>
              <w:rPr>
                <w:kern w:val="0"/>
                <w:sz w:val="24"/>
                <w:szCs w:val="24"/>
              </w:rPr>
            </w:pPr>
            <w:r>
              <w:rPr>
                <w:rFonts w:hint="eastAsia"/>
                <w:kern w:val="0"/>
                <w:sz w:val="24"/>
                <w:szCs w:val="24"/>
              </w:rPr>
              <w:t>理解满足招标文件要求，内容无瑕疵：5分；</w:t>
            </w:r>
          </w:p>
          <w:p w14:paraId="3C214437">
            <w:pPr>
              <w:widowControl/>
              <w:adjustRightInd w:val="0"/>
              <w:snapToGrid w:val="0"/>
              <w:spacing w:line="360" w:lineRule="auto"/>
              <w:rPr>
                <w:kern w:val="0"/>
                <w:sz w:val="24"/>
                <w:szCs w:val="24"/>
              </w:rPr>
            </w:pPr>
            <w:r>
              <w:rPr>
                <w:rFonts w:hint="eastAsia"/>
                <w:kern w:val="0"/>
                <w:sz w:val="24"/>
                <w:szCs w:val="24"/>
              </w:rPr>
              <w:t>理解满足招标文件要求，但内容存在1处瑕疵：4分；</w:t>
            </w:r>
          </w:p>
          <w:p w14:paraId="05E786D9">
            <w:pPr>
              <w:widowControl/>
              <w:adjustRightInd w:val="0"/>
              <w:snapToGrid w:val="0"/>
              <w:spacing w:line="360" w:lineRule="auto"/>
              <w:rPr>
                <w:kern w:val="0"/>
                <w:sz w:val="24"/>
                <w:szCs w:val="24"/>
              </w:rPr>
            </w:pPr>
            <w:r>
              <w:rPr>
                <w:rFonts w:hint="eastAsia"/>
                <w:kern w:val="0"/>
                <w:sz w:val="24"/>
                <w:szCs w:val="24"/>
              </w:rPr>
              <w:t>理解满足招标文件要求，但内容存在2处瑕疵：3分；</w:t>
            </w:r>
          </w:p>
          <w:p w14:paraId="7F99FAC7">
            <w:pPr>
              <w:widowControl/>
              <w:adjustRightInd w:val="0"/>
              <w:snapToGrid w:val="0"/>
              <w:spacing w:line="360" w:lineRule="auto"/>
              <w:rPr>
                <w:kern w:val="0"/>
                <w:sz w:val="24"/>
                <w:szCs w:val="24"/>
              </w:rPr>
            </w:pPr>
            <w:r>
              <w:rPr>
                <w:rFonts w:hint="eastAsia"/>
                <w:kern w:val="0"/>
                <w:sz w:val="24"/>
                <w:szCs w:val="24"/>
              </w:rPr>
              <w:t>其他：0分；</w:t>
            </w:r>
          </w:p>
        </w:tc>
        <w:tc>
          <w:tcPr>
            <w:tcW w:w="1143" w:type="dxa"/>
            <w:vAlign w:val="center"/>
          </w:tcPr>
          <w:p w14:paraId="3D93208E">
            <w:pPr>
              <w:widowControl/>
              <w:adjustRightInd w:val="0"/>
              <w:snapToGrid w:val="0"/>
              <w:spacing w:line="360" w:lineRule="auto"/>
              <w:jc w:val="center"/>
              <w:rPr>
                <w:kern w:val="0"/>
                <w:sz w:val="24"/>
                <w:szCs w:val="24"/>
              </w:rPr>
            </w:pPr>
            <w:r>
              <w:rPr>
                <w:rFonts w:hint="eastAsia"/>
                <w:kern w:val="0"/>
                <w:sz w:val="24"/>
                <w:szCs w:val="24"/>
              </w:rPr>
              <w:t>5</w:t>
            </w:r>
          </w:p>
        </w:tc>
      </w:tr>
      <w:tr w14:paraId="22D3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613500EC">
            <w:pPr>
              <w:widowControl/>
              <w:adjustRightInd w:val="0"/>
              <w:snapToGrid w:val="0"/>
              <w:spacing w:line="360" w:lineRule="auto"/>
              <w:jc w:val="center"/>
              <w:rPr>
                <w:kern w:val="0"/>
                <w:sz w:val="24"/>
                <w:szCs w:val="24"/>
              </w:rPr>
            </w:pPr>
            <w:r>
              <w:rPr>
                <w:rFonts w:hint="eastAsia"/>
                <w:kern w:val="0"/>
                <w:sz w:val="24"/>
                <w:szCs w:val="24"/>
              </w:rPr>
              <w:t>4</w:t>
            </w:r>
          </w:p>
        </w:tc>
        <w:tc>
          <w:tcPr>
            <w:tcW w:w="1419" w:type="dxa"/>
            <w:vAlign w:val="center"/>
          </w:tcPr>
          <w:p w14:paraId="7436D405">
            <w:pPr>
              <w:widowControl/>
              <w:adjustRightInd w:val="0"/>
              <w:snapToGrid w:val="0"/>
              <w:spacing w:line="360" w:lineRule="auto"/>
              <w:jc w:val="center"/>
              <w:rPr>
                <w:kern w:val="0"/>
                <w:sz w:val="24"/>
                <w:szCs w:val="24"/>
              </w:rPr>
            </w:pPr>
            <w:r>
              <w:rPr>
                <w:rFonts w:hint="eastAsia"/>
                <w:kern w:val="0"/>
                <w:sz w:val="24"/>
                <w:szCs w:val="24"/>
              </w:rPr>
              <w:t>针对本项目特点的应急预案评价</w:t>
            </w:r>
          </w:p>
        </w:tc>
        <w:tc>
          <w:tcPr>
            <w:tcW w:w="7311" w:type="dxa"/>
            <w:vAlign w:val="center"/>
          </w:tcPr>
          <w:p w14:paraId="025F917D">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28820247">
            <w:pPr>
              <w:widowControl/>
              <w:adjustRightInd w:val="0"/>
              <w:snapToGrid w:val="0"/>
              <w:spacing w:line="360" w:lineRule="auto"/>
              <w:rPr>
                <w:kern w:val="0"/>
                <w:sz w:val="24"/>
                <w:szCs w:val="24"/>
              </w:rPr>
            </w:pPr>
            <w:r>
              <w:rPr>
                <w:rFonts w:hint="eastAsia"/>
                <w:kern w:val="0"/>
                <w:sz w:val="24"/>
                <w:szCs w:val="24"/>
              </w:rPr>
              <w:t>预案满足招标文件要求，内容无瑕疵：5分；</w:t>
            </w:r>
          </w:p>
          <w:p w14:paraId="4A4BB46B">
            <w:pPr>
              <w:widowControl/>
              <w:adjustRightInd w:val="0"/>
              <w:snapToGrid w:val="0"/>
              <w:spacing w:line="360" w:lineRule="auto"/>
              <w:rPr>
                <w:kern w:val="0"/>
                <w:sz w:val="24"/>
                <w:szCs w:val="24"/>
              </w:rPr>
            </w:pPr>
            <w:r>
              <w:rPr>
                <w:rFonts w:hint="eastAsia"/>
                <w:kern w:val="0"/>
                <w:sz w:val="24"/>
                <w:szCs w:val="24"/>
              </w:rPr>
              <w:t>预案满足招标文件要求，但内容存在1处瑕疵：4分；</w:t>
            </w:r>
          </w:p>
          <w:p w14:paraId="02ADC922">
            <w:pPr>
              <w:widowControl/>
              <w:adjustRightInd w:val="0"/>
              <w:snapToGrid w:val="0"/>
              <w:spacing w:line="360" w:lineRule="auto"/>
              <w:rPr>
                <w:kern w:val="0"/>
                <w:sz w:val="24"/>
                <w:szCs w:val="24"/>
              </w:rPr>
            </w:pPr>
            <w:r>
              <w:rPr>
                <w:rFonts w:hint="eastAsia"/>
                <w:kern w:val="0"/>
                <w:sz w:val="24"/>
                <w:szCs w:val="24"/>
              </w:rPr>
              <w:t>预案满足招标文件要求，但内容存在2处瑕疵：3分；</w:t>
            </w:r>
          </w:p>
          <w:p w14:paraId="288F1F76">
            <w:pPr>
              <w:widowControl/>
              <w:adjustRightInd w:val="0"/>
              <w:snapToGrid w:val="0"/>
              <w:spacing w:line="360" w:lineRule="auto"/>
              <w:rPr>
                <w:kern w:val="0"/>
                <w:sz w:val="24"/>
                <w:szCs w:val="24"/>
              </w:rPr>
            </w:pPr>
            <w:r>
              <w:rPr>
                <w:rFonts w:hint="eastAsia"/>
                <w:kern w:val="0"/>
                <w:sz w:val="24"/>
                <w:szCs w:val="24"/>
              </w:rPr>
              <w:t>其他：0分；</w:t>
            </w:r>
          </w:p>
        </w:tc>
        <w:tc>
          <w:tcPr>
            <w:tcW w:w="1143" w:type="dxa"/>
            <w:vAlign w:val="center"/>
          </w:tcPr>
          <w:p w14:paraId="017B21F3">
            <w:pPr>
              <w:widowControl/>
              <w:adjustRightInd w:val="0"/>
              <w:snapToGrid w:val="0"/>
              <w:spacing w:line="360" w:lineRule="auto"/>
              <w:jc w:val="center"/>
              <w:rPr>
                <w:kern w:val="0"/>
                <w:sz w:val="24"/>
                <w:szCs w:val="24"/>
              </w:rPr>
            </w:pPr>
            <w:r>
              <w:rPr>
                <w:rFonts w:hint="eastAsia"/>
                <w:kern w:val="0"/>
                <w:sz w:val="24"/>
                <w:szCs w:val="24"/>
              </w:rPr>
              <w:t>5</w:t>
            </w:r>
          </w:p>
        </w:tc>
      </w:tr>
      <w:tr w14:paraId="174C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456B400B">
            <w:pPr>
              <w:widowControl/>
              <w:adjustRightInd w:val="0"/>
              <w:snapToGrid w:val="0"/>
              <w:spacing w:line="360" w:lineRule="auto"/>
              <w:jc w:val="center"/>
              <w:rPr>
                <w:kern w:val="0"/>
                <w:sz w:val="24"/>
                <w:szCs w:val="24"/>
              </w:rPr>
            </w:pPr>
            <w:r>
              <w:rPr>
                <w:rFonts w:hint="eastAsia"/>
                <w:kern w:val="0"/>
                <w:sz w:val="24"/>
                <w:szCs w:val="24"/>
              </w:rPr>
              <w:t>5</w:t>
            </w:r>
          </w:p>
        </w:tc>
        <w:tc>
          <w:tcPr>
            <w:tcW w:w="1419" w:type="dxa"/>
            <w:vAlign w:val="center"/>
          </w:tcPr>
          <w:p w14:paraId="5817BE51">
            <w:pPr>
              <w:widowControl/>
              <w:adjustRightInd w:val="0"/>
              <w:snapToGrid w:val="0"/>
              <w:spacing w:line="360" w:lineRule="auto"/>
              <w:jc w:val="center"/>
              <w:rPr>
                <w:kern w:val="0"/>
                <w:sz w:val="24"/>
                <w:szCs w:val="24"/>
              </w:rPr>
            </w:pPr>
            <w:r>
              <w:rPr>
                <w:rFonts w:hint="eastAsia"/>
                <w:sz w:val="24"/>
              </w:rPr>
              <w:t>针对本项目特点的人员保密管理方案评价</w:t>
            </w:r>
          </w:p>
        </w:tc>
        <w:tc>
          <w:tcPr>
            <w:tcW w:w="7311" w:type="dxa"/>
            <w:vAlign w:val="center"/>
          </w:tcPr>
          <w:p w14:paraId="1A8563B3">
            <w:pPr>
              <w:widowControl/>
              <w:adjustRightInd w:val="0"/>
              <w:snapToGrid w:val="0"/>
              <w:spacing w:line="360" w:lineRule="auto"/>
              <w:rPr>
                <w:sz w:val="24"/>
              </w:rPr>
            </w:pPr>
            <w:r>
              <w:rPr>
                <w:rFonts w:hint="eastAsia"/>
                <w:sz w:val="24"/>
              </w:rPr>
              <w:t>方案满足招标文件要求，内容无瑕疵：5分；</w:t>
            </w:r>
          </w:p>
          <w:p w14:paraId="233D92AD">
            <w:pPr>
              <w:widowControl/>
              <w:adjustRightInd w:val="0"/>
              <w:snapToGrid w:val="0"/>
              <w:spacing w:line="360" w:lineRule="auto"/>
              <w:rPr>
                <w:sz w:val="24"/>
              </w:rPr>
            </w:pPr>
            <w:r>
              <w:rPr>
                <w:rFonts w:hint="eastAsia"/>
                <w:sz w:val="24"/>
              </w:rPr>
              <w:t>方案满足招标文件要求，但内容存在1处瑕疵：4分；</w:t>
            </w:r>
          </w:p>
          <w:p w14:paraId="33DBE732">
            <w:pPr>
              <w:widowControl/>
              <w:adjustRightInd w:val="0"/>
              <w:snapToGrid w:val="0"/>
              <w:spacing w:line="360" w:lineRule="auto"/>
              <w:rPr>
                <w:sz w:val="24"/>
              </w:rPr>
            </w:pPr>
            <w:r>
              <w:rPr>
                <w:rFonts w:hint="eastAsia"/>
                <w:sz w:val="24"/>
              </w:rPr>
              <w:t>方案满足招标文件要求，但内容存在2处瑕疵：3分；</w:t>
            </w:r>
          </w:p>
          <w:p w14:paraId="126DD36C">
            <w:pPr>
              <w:widowControl/>
              <w:adjustRightInd w:val="0"/>
              <w:snapToGrid w:val="0"/>
              <w:spacing w:line="360" w:lineRule="auto"/>
              <w:rPr>
                <w:kern w:val="0"/>
                <w:sz w:val="24"/>
                <w:szCs w:val="24"/>
              </w:rPr>
            </w:pPr>
            <w:r>
              <w:rPr>
                <w:rFonts w:hint="eastAsia"/>
                <w:sz w:val="24"/>
              </w:rPr>
              <w:t>其他：0分；</w:t>
            </w:r>
          </w:p>
        </w:tc>
        <w:tc>
          <w:tcPr>
            <w:tcW w:w="1143" w:type="dxa"/>
            <w:vAlign w:val="center"/>
          </w:tcPr>
          <w:p w14:paraId="664027BC">
            <w:pPr>
              <w:widowControl/>
              <w:adjustRightInd w:val="0"/>
              <w:snapToGrid w:val="0"/>
              <w:spacing w:line="360" w:lineRule="auto"/>
              <w:jc w:val="center"/>
              <w:rPr>
                <w:kern w:val="0"/>
                <w:sz w:val="24"/>
                <w:szCs w:val="24"/>
              </w:rPr>
            </w:pPr>
            <w:r>
              <w:rPr>
                <w:rFonts w:hint="eastAsia"/>
                <w:kern w:val="0"/>
                <w:sz w:val="24"/>
                <w:szCs w:val="24"/>
              </w:rPr>
              <w:t>5</w:t>
            </w:r>
          </w:p>
        </w:tc>
      </w:tr>
      <w:tr w14:paraId="0867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noWrap/>
            <w:vAlign w:val="center"/>
          </w:tcPr>
          <w:p w14:paraId="7CD31B97">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14:paraId="3F846CB3">
            <w:pPr>
              <w:widowControl/>
              <w:adjustRightInd w:val="0"/>
              <w:snapToGrid w:val="0"/>
              <w:spacing w:line="360" w:lineRule="auto"/>
              <w:jc w:val="center"/>
              <w:rPr>
                <w:kern w:val="0"/>
                <w:sz w:val="24"/>
                <w:szCs w:val="24"/>
              </w:rPr>
            </w:pPr>
            <w:r>
              <w:rPr>
                <w:rFonts w:hint="eastAsia"/>
                <w:sz w:val="24"/>
              </w:rPr>
              <w:t>针对本项目特点的人员稳定性方案评价</w:t>
            </w:r>
          </w:p>
        </w:tc>
        <w:tc>
          <w:tcPr>
            <w:tcW w:w="7311" w:type="dxa"/>
            <w:vAlign w:val="center"/>
          </w:tcPr>
          <w:p w14:paraId="7F342C61">
            <w:pPr>
              <w:widowControl/>
              <w:adjustRightInd w:val="0"/>
              <w:snapToGrid w:val="0"/>
              <w:spacing w:line="360" w:lineRule="auto"/>
              <w:rPr>
                <w:sz w:val="24"/>
              </w:rPr>
            </w:pPr>
            <w:r>
              <w:rPr>
                <w:rFonts w:hint="eastAsia"/>
                <w:sz w:val="24"/>
              </w:rPr>
              <w:t>方案满足招标文件要求，内容无瑕疵：5分；</w:t>
            </w:r>
          </w:p>
          <w:p w14:paraId="160E703B">
            <w:pPr>
              <w:widowControl/>
              <w:adjustRightInd w:val="0"/>
              <w:snapToGrid w:val="0"/>
              <w:spacing w:line="360" w:lineRule="auto"/>
              <w:rPr>
                <w:sz w:val="24"/>
              </w:rPr>
            </w:pPr>
            <w:r>
              <w:rPr>
                <w:rFonts w:hint="eastAsia"/>
                <w:sz w:val="24"/>
              </w:rPr>
              <w:t>方案满足招标文件要求，但内容存在1处瑕疵：4分；</w:t>
            </w:r>
          </w:p>
          <w:p w14:paraId="779CB89B">
            <w:pPr>
              <w:widowControl/>
              <w:adjustRightInd w:val="0"/>
              <w:snapToGrid w:val="0"/>
              <w:spacing w:line="360" w:lineRule="auto"/>
              <w:rPr>
                <w:sz w:val="24"/>
              </w:rPr>
            </w:pPr>
            <w:r>
              <w:rPr>
                <w:rFonts w:hint="eastAsia"/>
                <w:sz w:val="24"/>
              </w:rPr>
              <w:t>方案满足招标文件要求，但内容存在2处瑕疵：3分；</w:t>
            </w:r>
          </w:p>
          <w:p w14:paraId="02F57CE9">
            <w:pPr>
              <w:widowControl/>
              <w:adjustRightInd w:val="0"/>
              <w:snapToGrid w:val="0"/>
              <w:spacing w:line="360" w:lineRule="auto"/>
              <w:rPr>
                <w:kern w:val="0"/>
                <w:sz w:val="24"/>
                <w:szCs w:val="24"/>
              </w:rPr>
            </w:pPr>
            <w:r>
              <w:rPr>
                <w:rFonts w:hint="eastAsia"/>
                <w:sz w:val="24"/>
              </w:rPr>
              <w:t>其他：0分；</w:t>
            </w:r>
          </w:p>
        </w:tc>
        <w:tc>
          <w:tcPr>
            <w:tcW w:w="1143" w:type="dxa"/>
            <w:vAlign w:val="center"/>
          </w:tcPr>
          <w:p w14:paraId="51D7A53A">
            <w:pPr>
              <w:widowControl/>
              <w:adjustRightInd w:val="0"/>
              <w:snapToGrid w:val="0"/>
              <w:spacing w:line="360" w:lineRule="auto"/>
              <w:jc w:val="center"/>
              <w:rPr>
                <w:kern w:val="0"/>
                <w:sz w:val="24"/>
                <w:szCs w:val="24"/>
              </w:rPr>
            </w:pPr>
            <w:r>
              <w:rPr>
                <w:rFonts w:hint="eastAsia"/>
                <w:kern w:val="0"/>
                <w:sz w:val="24"/>
                <w:szCs w:val="24"/>
              </w:rPr>
              <w:t>5</w:t>
            </w:r>
          </w:p>
        </w:tc>
      </w:tr>
      <w:tr w14:paraId="5A6C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noWrap/>
            <w:vAlign w:val="center"/>
          </w:tcPr>
          <w:p w14:paraId="7833FB37">
            <w:pPr>
              <w:widowControl/>
              <w:adjustRightInd w:val="0"/>
              <w:snapToGrid w:val="0"/>
              <w:spacing w:line="360" w:lineRule="auto"/>
              <w:jc w:val="center"/>
              <w:rPr>
                <w:kern w:val="0"/>
                <w:sz w:val="24"/>
                <w:szCs w:val="24"/>
              </w:rPr>
            </w:pPr>
            <w:r>
              <w:rPr>
                <w:rFonts w:hint="eastAsia"/>
                <w:kern w:val="0"/>
                <w:sz w:val="24"/>
                <w:szCs w:val="24"/>
              </w:rPr>
              <w:t>7</w:t>
            </w:r>
          </w:p>
        </w:tc>
        <w:tc>
          <w:tcPr>
            <w:tcW w:w="1419" w:type="dxa"/>
            <w:vAlign w:val="center"/>
          </w:tcPr>
          <w:p w14:paraId="7E6A1043">
            <w:pPr>
              <w:widowControl/>
              <w:adjustRightInd w:val="0"/>
              <w:snapToGrid w:val="0"/>
              <w:spacing w:line="360" w:lineRule="auto"/>
              <w:jc w:val="center"/>
              <w:rPr>
                <w:sz w:val="24"/>
              </w:rPr>
            </w:pPr>
            <w:r>
              <w:rPr>
                <w:rFonts w:hint="eastAsia"/>
                <w:sz w:val="24"/>
              </w:rPr>
              <w:t>价格测算方案评价</w:t>
            </w:r>
          </w:p>
        </w:tc>
        <w:tc>
          <w:tcPr>
            <w:tcW w:w="7311" w:type="dxa"/>
            <w:vAlign w:val="center"/>
          </w:tcPr>
          <w:p w14:paraId="4DD769E4">
            <w:pPr>
              <w:widowControl/>
              <w:adjustRightInd w:val="0"/>
              <w:snapToGrid w:val="0"/>
              <w:spacing w:line="360" w:lineRule="auto"/>
              <w:rPr>
                <w:rFonts w:hint="eastAsia" w:eastAsia="宋体"/>
                <w:sz w:val="24"/>
                <w:lang w:eastAsia="zh-CN"/>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r>
              <w:rPr>
                <w:rFonts w:hint="eastAsia"/>
                <w:sz w:val="24"/>
                <w:lang w:eastAsia="zh-CN"/>
              </w:rPr>
              <w:t>。</w:t>
            </w:r>
          </w:p>
          <w:p w14:paraId="33ABCBE9">
            <w:pPr>
              <w:widowControl/>
              <w:adjustRightInd w:val="0"/>
              <w:snapToGrid w:val="0"/>
              <w:spacing w:line="360" w:lineRule="auto"/>
              <w:rPr>
                <w:sz w:val="24"/>
              </w:rPr>
            </w:pPr>
            <w:r>
              <w:rPr>
                <w:rFonts w:hint="eastAsia"/>
                <w:sz w:val="24"/>
              </w:rPr>
              <w:t>投标报价在不超采购预算的前提下，其合理性由评标委员会在评分中予以考虑。</w:t>
            </w:r>
          </w:p>
          <w:p w14:paraId="0399573A">
            <w:pPr>
              <w:widowControl/>
              <w:adjustRightInd w:val="0"/>
              <w:snapToGrid w:val="0"/>
              <w:spacing w:line="360" w:lineRule="auto"/>
              <w:rPr>
                <w:sz w:val="24"/>
              </w:rPr>
            </w:pPr>
            <w:r>
              <w:rPr>
                <w:rFonts w:hint="eastAsia"/>
                <w:sz w:val="24"/>
              </w:rPr>
              <w:t>价格测算方案科学合理：3分；</w:t>
            </w:r>
          </w:p>
          <w:p w14:paraId="6236AAA3">
            <w:pPr>
              <w:widowControl/>
              <w:adjustRightInd w:val="0"/>
              <w:snapToGrid w:val="0"/>
              <w:spacing w:line="360" w:lineRule="auto"/>
              <w:rPr>
                <w:sz w:val="24"/>
              </w:rPr>
            </w:pPr>
            <w:r>
              <w:rPr>
                <w:rFonts w:hint="eastAsia"/>
                <w:sz w:val="24"/>
              </w:rPr>
              <w:t>价格测算方案合理性方面存在1处瑕疵：2分；</w:t>
            </w:r>
          </w:p>
          <w:p w14:paraId="2A517E80">
            <w:pPr>
              <w:widowControl/>
              <w:adjustRightInd w:val="0"/>
              <w:snapToGrid w:val="0"/>
              <w:spacing w:line="360" w:lineRule="auto"/>
              <w:rPr>
                <w:sz w:val="24"/>
              </w:rPr>
            </w:pPr>
            <w:r>
              <w:rPr>
                <w:rFonts w:hint="eastAsia"/>
                <w:sz w:val="24"/>
              </w:rPr>
              <w:t>价格测算方案合理性方面存在2处瑕疵：1分；</w:t>
            </w:r>
          </w:p>
          <w:p w14:paraId="28D78CC1">
            <w:pPr>
              <w:widowControl/>
              <w:adjustRightInd w:val="0"/>
              <w:snapToGrid w:val="0"/>
              <w:spacing w:line="360" w:lineRule="auto"/>
              <w:rPr>
                <w:sz w:val="24"/>
              </w:rPr>
            </w:pPr>
            <w:r>
              <w:rPr>
                <w:rFonts w:hint="eastAsia"/>
                <w:sz w:val="24"/>
              </w:rPr>
              <w:t>未提供测算方案或方案存在3处及以上瑕疵或社会保险、住房公积金应缴未缴的：0分。</w:t>
            </w:r>
          </w:p>
        </w:tc>
        <w:tc>
          <w:tcPr>
            <w:tcW w:w="1143" w:type="dxa"/>
            <w:vAlign w:val="center"/>
          </w:tcPr>
          <w:p w14:paraId="0E73FC04">
            <w:pPr>
              <w:widowControl/>
              <w:adjustRightInd w:val="0"/>
              <w:snapToGrid w:val="0"/>
              <w:spacing w:line="360" w:lineRule="auto"/>
              <w:jc w:val="center"/>
              <w:rPr>
                <w:kern w:val="0"/>
                <w:sz w:val="24"/>
                <w:szCs w:val="24"/>
              </w:rPr>
            </w:pPr>
            <w:r>
              <w:rPr>
                <w:rFonts w:hint="eastAsia"/>
                <w:kern w:val="0"/>
                <w:sz w:val="24"/>
                <w:szCs w:val="24"/>
              </w:rPr>
              <w:t>3</w:t>
            </w:r>
          </w:p>
        </w:tc>
      </w:tr>
      <w:tr w14:paraId="6BFE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noWrap/>
            <w:vAlign w:val="center"/>
          </w:tcPr>
          <w:p w14:paraId="0FF1D236">
            <w:pPr>
              <w:widowControl/>
              <w:adjustRightInd w:val="0"/>
              <w:snapToGrid w:val="0"/>
              <w:spacing w:line="360" w:lineRule="auto"/>
              <w:jc w:val="center"/>
              <w:rPr>
                <w:sz w:val="24"/>
              </w:rPr>
            </w:pPr>
            <w:r>
              <w:rPr>
                <w:sz w:val="24"/>
              </w:rPr>
              <w:t>合计</w:t>
            </w:r>
          </w:p>
        </w:tc>
        <w:tc>
          <w:tcPr>
            <w:tcW w:w="1143" w:type="dxa"/>
            <w:vAlign w:val="center"/>
          </w:tcPr>
          <w:p w14:paraId="172532DA">
            <w:pPr>
              <w:widowControl/>
              <w:adjustRightInd w:val="0"/>
              <w:snapToGrid w:val="0"/>
              <w:spacing w:line="360" w:lineRule="auto"/>
              <w:jc w:val="center"/>
              <w:rPr>
                <w:kern w:val="0"/>
                <w:sz w:val="24"/>
                <w:szCs w:val="24"/>
              </w:rPr>
            </w:pPr>
            <w:r>
              <w:rPr>
                <w:kern w:val="0"/>
                <w:sz w:val="24"/>
                <w:szCs w:val="24"/>
              </w:rPr>
              <w:t>100</w:t>
            </w:r>
          </w:p>
        </w:tc>
      </w:tr>
      <w:tr w14:paraId="3009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536" w:type="dxa"/>
            <w:gridSpan w:val="4"/>
            <w:noWrap/>
            <w:vAlign w:val="center"/>
          </w:tcPr>
          <w:p w14:paraId="09431B08">
            <w:pPr>
              <w:widowControl/>
              <w:adjustRightInd w:val="0"/>
              <w:snapToGrid w:val="0"/>
              <w:spacing w:line="360" w:lineRule="auto"/>
              <w:jc w:val="left"/>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14:paraId="21053CB4">
      <w:pPr>
        <w:spacing w:line="360" w:lineRule="auto"/>
        <w:ind w:firstLine="448" w:firstLineChars="200"/>
        <w:outlineLvl w:val="0"/>
        <w:rPr>
          <w:sz w:val="24"/>
        </w:rPr>
      </w:pPr>
      <w:r>
        <w:rPr>
          <w:rFonts w:hAnsiTheme="minorEastAsia"/>
          <w:sz w:val="24"/>
        </w:rPr>
        <w:t>四、投标文件内容要求</w:t>
      </w:r>
    </w:p>
    <w:p w14:paraId="5A62BD95">
      <w:pPr>
        <w:spacing w:line="360" w:lineRule="auto"/>
        <w:ind w:firstLine="448" w:firstLineChars="200"/>
        <w:outlineLvl w:val="0"/>
        <w:rPr>
          <w:sz w:val="24"/>
        </w:rPr>
      </w:pPr>
      <w:r>
        <w:rPr>
          <w:rFonts w:hint="eastAsia" w:hAnsiTheme="minorEastAsia"/>
          <w:sz w:val="24"/>
        </w:rPr>
        <w:t>（一）</w:t>
      </w:r>
      <w:r>
        <w:rPr>
          <w:rFonts w:hAnsiTheme="minorEastAsia"/>
          <w:sz w:val="24"/>
        </w:rPr>
        <w:t>投标人须按照《投标须知》</w:t>
      </w:r>
      <w:r>
        <w:rPr>
          <w:sz w:val="24"/>
        </w:rPr>
        <w:t xml:space="preserve">“C </w:t>
      </w:r>
      <w:r>
        <w:rPr>
          <w:rFonts w:hAnsiTheme="minorEastAsia"/>
          <w:sz w:val="24"/>
        </w:rPr>
        <w:t>投标文件的编制</w:t>
      </w:r>
      <w:r>
        <w:rPr>
          <w:sz w:val="24"/>
        </w:rPr>
        <w:t>”</w:t>
      </w:r>
      <w:r>
        <w:rPr>
          <w:rFonts w:hAnsiTheme="minorEastAsia"/>
          <w:sz w:val="24"/>
        </w:rPr>
        <w:t>中的相关要求编制投标文件</w:t>
      </w:r>
      <w:r>
        <w:rPr>
          <w:rFonts w:hint="eastAsia" w:hAnsiTheme="minorEastAsia"/>
          <w:sz w:val="24"/>
        </w:rPr>
        <w:t>。</w:t>
      </w:r>
    </w:p>
    <w:p w14:paraId="7020FAC0">
      <w:pPr>
        <w:spacing w:line="360" w:lineRule="auto"/>
        <w:ind w:firstLine="448" w:firstLineChars="200"/>
        <w:outlineLvl w:val="0"/>
        <w:rPr>
          <w:sz w:val="24"/>
        </w:rPr>
      </w:pPr>
      <w:r>
        <w:rPr>
          <w:rFonts w:hint="eastAsia" w:hAnsiTheme="minorEastAsia"/>
          <w:sz w:val="24"/>
        </w:rPr>
        <w:t>（二）</w:t>
      </w:r>
      <w:r>
        <w:rPr>
          <w:rFonts w:hAnsiTheme="minorEastAsia"/>
          <w:sz w:val="24"/>
        </w:rPr>
        <w:t>投标文件</w:t>
      </w:r>
      <w:r>
        <w:rPr>
          <w:rFonts w:hint="eastAsia" w:hAnsiTheme="minorEastAsia"/>
          <w:sz w:val="24"/>
        </w:rPr>
        <w:t>格式参照第五部分</w:t>
      </w:r>
      <w:r>
        <w:rPr>
          <w:rFonts w:hint="eastAsia"/>
          <w:sz w:val="24"/>
        </w:rPr>
        <w:t>“</w:t>
      </w:r>
      <w:r>
        <w:rPr>
          <w:rFonts w:hint="eastAsia" w:hAnsiTheme="minorEastAsia"/>
          <w:sz w:val="24"/>
        </w:rPr>
        <w:t>投标文件格式</w:t>
      </w:r>
      <w:r>
        <w:rPr>
          <w:rFonts w:hint="eastAsia"/>
          <w:sz w:val="24"/>
        </w:rPr>
        <w:t>”</w:t>
      </w:r>
      <w:r>
        <w:rPr>
          <w:rFonts w:hint="eastAsia" w:hAnsiTheme="minorEastAsia"/>
          <w:sz w:val="24"/>
        </w:rPr>
        <w:t>。</w:t>
      </w:r>
    </w:p>
    <w:p w14:paraId="32E4F1E8">
      <w:pPr>
        <w:spacing w:line="360" w:lineRule="auto"/>
        <w:jc w:val="center"/>
        <w:rPr>
          <w:sz w:val="24"/>
        </w:rPr>
      </w:pPr>
      <w:r>
        <w:rPr>
          <w:sz w:val="24"/>
          <w:u w:val="single"/>
        </w:rPr>
        <w:br w:type="page"/>
      </w:r>
    </w:p>
    <w:p w14:paraId="57A1B818">
      <w:pPr>
        <w:jc w:val="center"/>
        <w:rPr>
          <w:rFonts w:hint="eastAsia"/>
          <w:sz w:val="28"/>
          <w:szCs w:val="28"/>
        </w:rPr>
      </w:pPr>
      <w:r>
        <w:rPr>
          <w:rFonts w:hint="eastAsia"/>
          <w:b/>
          <w:bCs/>
          <w:sz w:val="32"/>
          <w:szCs w:val="32"/>
          <w:lang w:eastAsia="zh-CN"/>
        </w:rPr>
        <w:t>项目</w:t>
      </w:r>
      <w:r>
        <w:rPr>
          <w:rFonts w:hint="eastAsia"/>
          <w:b/>
          <w:bCs/>
          <w:sz w:val="32"/>
          <w:szCs w:val="32"/>
        </w:rPr>
        <w:t>需求书</w:t>
      </w:r>
    </w:p>
    <w:p w14:paraId="621D6ACD">
      <w:pPr>
        <w:numPr>
          <w:ilvl w:val="0"/>
          <w:numId w:val="4"/>
        </w:numPr>
        <w:spacing w:line="520" w:lineRule="exact"/>
        <w:ind w:firstLine="448" w:firstLineChars="200"/>
        <w:rPr>
          <w:rFonts w:ascii="宋体" w:hAnsi="宋体"/>
          <w:b/>
          <w:sz w:val="24"/>
          <w:szCs w:val="24"/>
        </w:rPr>
      </w:pPr>
      <w:r>
        <w:rPr>
          <w:rFonts w:ascii="宋体" w:hAnsi="宋体"/>
          <w:b/>
          <w:sz w:val="24"/>
          <w:szCs w:val="24"/>
        </w:rPr>
        <w:t>项目</w:t>
      </w:r>
      <w:r>
        <w:rPr>
          <w:rFonts w:hint="eastAsia" w:ascii="宋体" w:hAnsi="宋体"/>
          <w:b/>
          <w:sz w:val="24"/>
          <w:szCs w:val="24"/>
        </w:rPr>
        <w:t>背景情况</w:t>
      </w:r>
    </w:p>
    <w:p w14:paraId="3D274BA9">
      <w:pPr>
        <w:pStyle w:val="2"/>
        <w:ind w:firstLine="480"/>
        <w:rPr>
          <w:rFonts w:hint="eastAsia"/>
        </w:rPr>
      </w:pPr>
      <w:r>
        <w:rPr>
          <w:rFonts w:hint="eastAsia"/>
        </w:rPr>
        <w:t>滨海新区全民健身活动中心第一分中心体育场，占地面积约18926平方米，由400米跑道及标准足球场、篮球场、健身器材区域以及观众台组成，其作用是为群众健身和塘沽青少年区业余体育学校提供场地服务。</w:t>
      </w:r>
      <w:r>
        <w:rPr>
          <w:rFonts w:hint="eastAsia"/>
          <w:sz w:val="24"/>
        </w:rPr>
        <w:t>本项目属于物业管理行业。</w:t>
      </w:r>
    </w:p>
    <w:p w14:paraId="7C37B1C4">
      <w:pPr>
        <w:pStyle w:val="2"/>
        <w:ind w:firstLine="480"/>
        <w:rPr>
          <w:rFonts w:hint="eastAsia"/>
        </w:rPr>
      </w:pPr>
      <w:r>
        <w:rPr>
          <w:rFonts w:hint="eastAsia"/>
        </w:rPr>
        <w:t>滨海新区全民健身活动中心第一分中心体育馆，馆内面积约6686平方米，副馆1700平方米。室内综合运动场地及看台等。</w:t>
      </w:r>
    </w:p>
    <w:p w14:paraId="5AE5D2C6">
      <w:pPr>
        <w:pStyle w:val="2"/>
        <w:ind w:firstLine="480"/>
        <w:rPr>
          <w:rFonts w:hint="eastAsia"/>
        </w:rPr>
      </w:pPr>
      <w:r>
        <w:rPr>
          <w:rFonts w:hint="eastAsia"/>
        </w:rPr>
        <w:t>滨海新区全民健身活动中心第一分中心网球馆，馆内面积5008平方米，三块网球场地，一块冰上运动场地。</w:t>
      </w:r>
    </w:p>
    <w:p w14:paraId="7BE2E190">
      <w:pPr>
        <w:numPr>
          <w:ilvl w:val="0"/>
          <w:numId w:val="4"/>
        </w:numPr>
        <w:spacing w:line="520" w:lineRule="exact"/>
        <w:ind w:firstLine="448" w:firstLineChars="200"/>
        <w:rPr>
          <w:rFonts w:hint="eastAsia" w:ascii="宋体" w:hAnsi="宋体"/>
          <w:b/>
          <w:sz w:val="24"/>
          <w:szCs w:val="24"/>
        </w:rPr>
      </w:pPr>
      <w:r>
        <w:rPr>
          <w:rFonts w:hint="eastAsia" w:ascii="宋体" w:hAnsi="宋体"/>
          <w:b/>
          <w:sz w:val="24"/>
          <w:szCs w:val="24"/>
        </w:rPr>
        <w:t>人员及岗位要求</w:t>
      </w:r>
    </w:p>
    <w:tbl>
      <w:tblPr>
        <w:tblStyle w:val="20"/>
        <w:tblW w:w="8973" w:type="dxa"/>
        <w:jc w:val="center"/>
        <w:tblLayout w:type="fixed"/>
        <w:tblCellMar>
          <w:top w:w="15" w:type="dxa"/>
          <w:left w:w="15" w:type="dxa"/>
          <w:bottom w:w="15" w:type="dxa"/>
          <w:right w:w="15" w:type="dxa"/>
        </w:tblCellMar>
      </w:tblPr>
      <w:tblGrid>
        <w:gridCol w:w="918"/>
        <w:gridCol w:w="1060"/>
        <w:gridCol w:w="918"/>
        <w:gridCol w:w="4241"/>
        <w:gridCol w:w="918"/>
        <w:gridCol w:w="918"/>
      </w:tblGrid>
      <w:tr w14:paraId="1EA90EE8">
        <w:tblPrEx>
          <w:tblCellMar>
            <w:top w:w="15" w:type="dxa"/>
            <w:left w:w="15" w:type="dxa"/>
            <w:bottom w:w="15" w:type="dxa"/>
            <w:right w:w="15" w:type="dxa"/>
          </w:tblCellMar>
        </w:tblPrEx>
        <w:trPr>
          <w:trHeight w:val="1168" w:hRule="atLeast"/>
          <w:tblHeader/>
          <w:jc w:val="center"/>
        </w:trPr>
        <w:tc>
          <w:tcPr>
            <w:tcW w:w="918" w:type="dxa"/>
            <w:tcBorders>
              <w:top w:val="single" w:color="000000" w:sz="4" w:space="0"/>
              <w:left w:val="single" w:color="000000" w:sz="4" w:space="0"/>
              <w:bottom w:val="single" w:color="000000" w:sz="4" w:space="0"/>
              <w:right w:val="single" w:color="000000" w:sz="4" w:space="0"/>
            </w:tcBorders>
            <w:noWrap w:val="0"/>
            <w:vAlign w:val="center"/>
          </w:tcPr>
          <w:p w14:paraId="4E8BE30D">
            <w:pPr>
              <w:widowControl/>
              <w:jc w:val="center"/>
              <w:textAlignment w:val="center"/>
              <w:rPr>
                <w:rFonts w:hint="eastAsia" w:ascii="宋体" w:hAnsi="宋体" w:cs="宋体"/>
                <w:b/>
                <w:sz w:val="24"/>
                <w:szCs w:val="24"/>
              </w:rPr>
            </w:pPr>
            <w:r>
              <w:rPr>
                <w:rFonts w:hint="eastAsia" w:ascii="宋体" w:hAnsi="宋体" w:cs="宋体"/>
                <w:b/>
                <w:kern w:val="0"/>
                <w:sz w:val="24"/>
                <w:szCs w:val="24"/>
              </w:rPr>
              <w:t>序号</w:t>
            </w:r>
          </w:p>
        </w:tc>
        <w:tc>
          <w:tcPr>
            <w:tcW w:w="1060" w:type="dxa"/>
            <w:tcBorders>
              <w:top w:val="single" w:color="000000" w:sz="4" w:space="0"/>
              <w:bottom w:val="single" w:color="000000" w:sz="4" w:space="0"/>
              <w:right w:val="single" w:color="000000" w:sz="4" w:space="0"/>
            </w:tcBorders>
            <w:noWrap w:val="0"/>
            <w:vAlign w:val="center"/>
          </w:tcPr>
          <w:p w14:paraId="66AA39E4">
            <w:pPr>
              <w:widowControl/>
              <w:jc w:val="center"/>
              <w:textAlignment w:val="center"/>
              <w:rPr>
                <w:rFonts w:hint="eastAsia" w:ascii="宋体" w:hAnsi="宋体" w:cs="宋体"/>
                <w:b/>
                <w:sz w:val="24"/>
                <w:szCs w:val="24"/>
              </w:rPr>
            </w:pPr>
            <w:r>
              <w:rPr>
                <w:rFonts w:hint="eastAsia" w:ascii="宋体" w:hAnsi="宋体" w:cs="宋体"/>
                <w:b/>
                <w:kern w:val="0"/>
                <w:sz w:val="24"/>
                <w:szCs w:val="24"/>
              </w:rPr>
              <w:t>岗位名称</w:t>
            </w:r>
          </w:p>
        </w:tc>
        <w:tc>
          <w:tcPr>
            <w:tcW w:w="918" w:type="dxa"/>
            <w:tcBorders>
              <w:top w:val="single" w:color="000000" w:sz="4" w:space="0"/>
              <w:bottom w:val="single" w:color="000000" w:sz="4" w:space="0"/>
              <w:right w:val="single" w:color="000000" w:sz="4" w:space="0"/>
            </w:tcBorders>
            <w:noWrap w:val="0"/>
            <w:vAlign w:val="center"/>
          </w:tcPr>
          <w:p w14:paraId="147C65CB">
            <w:pPr>
              <w:widowControl/>
              <w:jc w:val="center"/>
              <w:textAlignment w:val="center"/>
              <w:rPr>
                <w:rFonts w:hint="eastAsia" w:ascii="宋体" w:hAnsi="宋体" w:cs="宋体"/>
                <w:b/>
                <w:sz w:val="24"/>
                <w:szCs w:val="24"/>
              </w:rPr>
            </w:pPr>
            <w:r>
              <w:rPr>
                <w:rFonts w:hint="eastAsia" w:ascii="宋体" w:hAnsi="宋体" w:cs="宋体"/>
                <w:b/>
                <w:kern w:val="0"/>
                <w:sz w:val="24"/>
                <w:szCs w:val="24"/>
              </w:rPr>
              <w:t>人数</w:t>
            </w:r>
          </w:p>
        </w:tc>
        <w:tc>
          <w:tcPr>
            <w:tcW w:w="4241" w:type="dxa"/>
            <w:tcBorders>
              <w:top w:val="single" w:color="000000" w:sz="4" w:space="0"/>
              <w:bottom w:val="single" w:color="000000" w:sz="4" w:space="0"/>
              <w:right w:val="single" w:color="000000" w:sz="4" w:space="0"/>
            </w:tcBorders>
            <w:noWrap w:val="0"/>
            <w:vAlign w:val="center"/>
          </w:tcPr>
          <w:p w14:paraId="7C81B5D6">
            <w:pPr>
              <w:widowControl/>
              <w:jc w:val="center"/>
              <w:textAlignment w:val="center"/>
              <w:rPr>
                <w:rFonts w:hint="eastAsia" w:ascii="宋体" w:hAnsi="宋体" w:cs="宋体"/>
                <w:b/>
                <w:sz w:val="24"/>
                <w:szCs w:val="24"/>
              </w:rPr>
            </w:pPr>
            <w:r>
              <w:rPr>
                <w:rFonts w:hint="eastAsia" w:ascii="宋体" w:hAnsi="宋体" w:cs="宋体"/>
                <w:b/>
                <w:kern w:val="0"/>
                <w:sz w:val="24"/>
                <w:szCs w:val="24"/>
              </w:rPr>
              <w:t>要求</w:t>
            </w:r>
          </w:p>
        </w:tc>
        <w:tc>
          <w:tcPr>
            <w:tcW w:w="918" w:type="dxa"/>
            <w:tcBorders>
              <w:top w:val="single" w:color="000000" w:sz="4" w:space="0"/>
              <w:bottom w:val="single" w:color="000000" w:sz="4" w:space="0"/>
              <w:right w:val="single" w:color="000000" w:sz="4" w:space="0"/>
            </w:tcBorders>
            <w:noWrap w:val="0"/>
            <w:vAlign w:val="center"/>
          </w:tcPr>
          <w:p w14:paraId="761BE044">
            <w:pPr>
              <w:widowControl/>
              <w:jc w:val="center"/>
              <w:textAlignment w:val="center"/>
              <w:rPr>
                <w:rFonts w:hint="eastAsia" w:ascii="宋体" w:hAnsi="宋体" w:cs="宋体"/>
                <w:b/>
                <w:sz w:val="24"/>
                <w:szCs w:val="24"/>
              </w:rPr>
            </w:pPr>
            <w:r>
              <w:rPr>
                <w:rFonts w:hint="eastAsia" w:ascii="宋体" w:hAnsi="宋体" w:cs="宋体"/>
                <w:b/>
                <w:kern w:val="0"/>
                <w:sz w:val="24"/>
                <w:szCs w:val="24"/>
              </w:rPr>
              <w:t>是否接受退休人员</w:t>
            </w:r>
          </w:p>
        </w:tc>
        <w:tc>
          <w:tcPr>
            <w:tcW w:w="918" w:type="dxa"/>
            <w:tcBorders>
              <w:top w:val="single" w:color="000000" w:sz="4" w:space="0"/>
              <w:bottom w:val="single" w:color="000000" w:sz="4" w:space="0"/>
              <w:right w:val="single" w:color="000000" w:sz="4" w:space="0"/>
            </w:tcBorders>
            <w:noWrap w:val="0"/>
            <w:vAlign w:val="center"/>
          </w:tcPr>
          <w:p w14:paraId="532C0A11">
            <w:pPr>
              <w:widowControl/>
              <w:jc w:val="center"/>
              <w:textAlignment w:val="center"/>
              <w:rPr>
                <w:rFonts w:hint="eastAsia" w:ascii="宋体" w:hAnsi="宋体" w:cs="宋体"/>
                <w:b/>
                <w:sz w:val="24"/>
                <w:szCs w:val="24"/>
              </w:rPr>
            </w:pPr>
            <w:r>
              <w:rPr>
                <w:rFonts w:hint="eastAsia" w:ascii="宋体" w:hAnsi="宋体" w:cs="宋体"/>
                <w:b/>
                <w:kern w:val="0"/>
                <w:sz w:val="24"/>
                <w:szCs w:val="24"/>
              </w:rPr>
              <w:t>工作时间</w:t>
            </w:r>
          </w:p>
        </w:tc>
      </w:tr>
      <w:tr w14:paraId="153E7BD9">
        <w:tblPrEx>
          <w:tblCellMar>
            <w:top w:w="15" w:type="dxa"/>
            <w:left w:w="15" w:type="dxa"/>
            <w:bottom w:w="15" w:type="dxa"/>
            <w:right w:w="15" w:type="dxa"/>
          </w:tblCellMar>
        </w:tblPrEx>
        <w:trPr>
          <w:trHeight w:val="1168" w:hRule="atLeast"/>
          <w:jc w:val="center"/>
        </w:trPr>
        <w:tc>
          <w:tcPr>
            <w:tcW w:w="918" w:type="dxa"/>
            <w:tcBorders>
              <w:top w:val="single" w:color="000000" w:sz="4" w:space="0"/>
              <w:left w:val="single" w:color="000000" w:sz="4" w:space="0"/>
              <w:bottom w:val="single" w:color="000000" w:sz="4" w:space="0"/>
              <w:right w:val="single" w:color="000000" w:sz="4" w:space="0"/>
            </w:tcBorders>
            <w:noWrap w:val="0"/>
            <w:vAlign w:val="center"/>
          </w:tcPr>
          <w:p w14:paraId="202C5AAA">
            <w:pPr>
              <w:widowControl/>
              <w:jc w:val="center"/>
              <w:textAlignment w:val="center"/>
              <w:rPr>
                <w:rFonts w:hint="eastAsia" w:ascii="宋体" w:hAnsi="宋体" w:cs="宋体"/>
                <w:bCs/>
                <w:kern w:val="0"/>
                <w:sz w:val="24"/>
                <w:szCs w:val="24"/>
              </w:rPr>
            </w:pPr>
            <w:r>
              <w:rPr>
                <w:rFonts w:hint="eastAsia" w:ascii="宋体" w:hAnsi="宋体" w:cs="宋体"/>
                <w:bCs/>
                <w:kern w:val="0"/>
                <w:sz w:val="24"/>
                <w:szCs w:val="24"/>
              </w:rPr>
              <w:t>1</w:t>
            </w:r>
          </w:p>
        </w:tc>
        <w:tc>
          <w:tcPr>
            <w:tcW w:w="1060" w:type="dxa"/>
            <w:tcBorders>
              <w:top w:val="single" w:color="000000" w:sz="4" w:space="0"/>
              <w:bottom w:val="single" w:color="000000" w:sz="4" w:space="0"/>
              <w:right w:val="single" w:color="000000" w:sz="4" w:space="0"/>
            </w:tcBorders>
            <w:noWrap w:val="0"/>
            <w:vAlign w:val="center"/>
          </w:tcPr>
          <w:p w14:paraId="41DDB9BF">
            <w:pPr>
              <w:widowControl/>
              <w:jc w:val="center"/>
              <w:textAlignment w:val="center"/>
              <w:rPr>
                <w:rFonts w:ascii="宋体" w:hAnsi="宋体" w:cs="宋体"/>
                <w:bCs/>
                <w:kern w:val="0"/>
                <w:sz w:val="24"/>
                <w:szCs w:val="24"/>
              </w:rPr>
            </w:pPr>
            <w:r>
              <w:rPr>
                <w:rFonts w:hint="eastAsia" w:ascii="宋体" w:hAnsi="宋体" w:cs="宋体"/>
                <w:bCs/>
                <w:kern w:val="0"/>
                <w:sz w:val="24"/>
                <w:szCs w:val="24"/>
              </w:rPr>
              <w:t>保安</w:t>
            </w:r>
          </w:p>
        </w:tc>
        <w:tc>
          <w:tcPr>
            <w:tcW w:w="918" w:type="dxa"/>
            <w:tcBorders>
              <w:top w:val="single" w:color="000000" w:sz="4" w:space="0"/>
              <w:bottom w:val="single" w:color="000000" w:sz="4" w:space="0"/>
              <w:right w:val="single" w:color="000000" w:sz="4" w:space="0"/>
            </w:tcBorders>
            <w:noWrap w:val="0"/>
            <w:vAlign w:val="center"/>
          </w:tcPr>
          <w:p w14:paraId="68157DA0">
            <w:pPr>
              <w:widowControl/>
              <w:jc w:val="center"/>
              <w:textAlignment w:val="center"/>
              <w:rPr>
                <w:rFonts w:hint="eastAsia" w:ascii="宋体" w:hAnsi="宋体" w:cs="宋体"/>
                <w:bCs/>
                <w:color w:val="auto"/>
                <w:kern w:val="0"/>
                <w:sz w:val="24"/>
                <w:szCs w:val="24"/>
              </w:rPr>
            </w:pPr>
            <w:r>
              <w:rPr>
                <w:rFonts w:hint="eastAsia" w:ascii="宋体" w:hAnsi="宋体" w:cs="宋体"/>
                <w:bCs/>
                <w:color w:val="auto"/>
                <w:kern w:val="0"/>
                <w:sz w:val="24"/>
                <w:szCs w:val="24"/>
              </w:rPr>
              <w:t>7</w:t>
            </w:r>
          </w:p>
        </w:tc>
        <w:tc>
          <w:tcPr>
            <w:tcW w:w="4241" w:type="dxa"/>
            <w:tcBorders>
              <w:top w:val="single" w:color="000000" w:sz="4" w:space="0"/>
              <w:bottom w:val="single" w:color="000000" w:sz="4" w:space="0"/>
              <w:right w:val="single" w:color="000000" w:sz="4" w:space="0"/>
            </w:tcBorders>
            <w:noWrap w:val="0"/>
            <w:vAlign w:val="center"/>
          </w:tcPr>
          <w:p w14:paraId="22818006">
            <w:pPr>
              <w:widowControl/>
              <w:jc w:val="center"/>
              <w:textAlignment w:val="center"/>
              <w:rPr>
                <w:rFonts w:hint="eastAsia" w:ascii="宋体" w:hAnsi="宋体" w:cs="宋体"/>
                <w:bCs/>
                <w:color w:val="auto"/>
                <w:kern w:val="0"/>
                <w:sz w:val="24"/>
                <w:szCs w:val="24"/>
              </w:rPr>
            </w:pPr>
            <w:r>
              <w:rPr>
                <w:rFonts w:hint="eastAsia" w:ascii="宋体" w:hAnsi="宋体" w:cs="宋体"/>
                <w:color w:val="auto"/>
                <w:kern w:val="0"/>
                <w:sz w:val="24"/>
                <w:szCs w:val="24"/>
              </w:rPr>
              <w:t>65岁以下，负责区域内24小时安全保障工作、定时进行巡逻，刊物收发，发现可疑情况及时处理，严格执行各项规章制度，做好来访客记录、发现异常及时与上级领导及相关部门联系</w:t>
            </w:r>
            <w:r>
              <w:rPr>
                <w:rFonts w:hint="eastAsia" w:ascii="宋体" w:hAnsi="宋体" w:cs="宋体"/>
                <w:color w:val="auto"/>
                <w:kern w:val="0"/>
                <w:sz w:val="24"/>
                <w:szCs w:val="24"/>
                <w:lang w:eastAsia="zh-CN"/>
              </w:rPr>
              <w:t>，持有</w:t>
            </w:r>
            <w:r>
              <w:rPr>
                <w:rFonts w:hint="eastAsia"/>
                <w:kern w:val="0"/>
                <w:sz w:val="24"/>
                <w:szCs w:val="24"/>
              </w:rPr>
              <w:t>公安机关盖章的《保安员》证</w:t>
            </w:r>
          </w:p>
        </w:tc>
        <w:tc>
          <w:tcPr>
            <w:tcW w:w="918" w:type="dxa"/>
            <w:tcBorders>
              <w:top w:val="single" w:color="000000" w:sz="4" w:space="0"/>
              <w:bottom w:val="single" w:color="000000" w:sz="4" w:space="0"/>
              <w:right w:val="single" w:color="000000" w:sz="4" w:space="0"/>
            </w:tcBorders>
            <w:noWrap w:val="0"/>
            <w:vAlign w:val="center"/>
          </w:tcPr>
          <w:p w14:paraId="1F3EE7E2">
            <w:pPr>
              <w:widowControl/>
              <w:jc w:val="center"/>
              <w:textAlignment w:val="center"/>
              <w:rPr>
                <w:rFonts w:hint="eastAsia" w:ascii="宋体" w:hAnsi="宋体" w:cs="宋体"/>
                <w:bCs/>
                <w:kern w:val="0"/>
                <w:sz w:val="24"/>
                <w:szCs w:val="24"/>
              </w:rPr>
            </w:pPr>
            <w:r>
              <w:rPr>
                <w:rFonts w:hint="eastAsia" w:ascii="宋体" w:hAnsi="宋体" w:cs="宋体"/>
                <w:bCs/>
                <w:kern w:val="0"/>
                <w:sz w:val="24"/>
                <w:szCs w:val="24"/>
              </w:rPr>
              <w:t>是</w:t>
            </w:r>
          </w:p>
        </w:tc>
        <w:tc>
          <w:tcPr>
            <w:tcW w:w="918" w:type="dxa"/>
            <w:tcBorders>
              <w:top w:val="single" w:color="000000" w:sz="4" w:space="0"/>
              <w:bottom w:val="single" w:color="000000" w:sz="4" w:space="0"/>
              <w:right w:val="single" w:color="000000" w:sz="4" w:space="0"/>
            </w:tcBorders>
            <w:noWrap w:val="0"/>
            <w:vAlign w:val="center"/>
          </w:tcPr>
          <w:p w14:paraId="1FBEA448">
            <w:pPr>
              <w:widowControl/>
              <w:jc w:val="center"/>
              <w:textAlignment w:val="center"/>
              <w:rPr>
                <w:rFonts w:ascii="宋体" w:hAnsi="宋体" w:cs="宋体"/>
                <w:bCs/>
                <w:kern w:val="0"/>
                <w:sz w:val="24"/>
                <w:szCs w:val="24"/>
              </w:rPr>
            </w:pPr>
            <w:r>
              <w:rPr>
                <w:rFonts w:hint="eastAsia" w:ascii="宋体" w:hAnsi="宋体" w:cs="宋体"/>
                <w:bCs/>
                <w:kern w:val="0"/>
                <w:sz w:val="24"/>
                <w:szCs w:val="24"/>
              </w:rPr>
              <w:t>上一休一</w:t>
            </w:r>
          </w:p>
        </w:tc>
      </w:tr>
      <w:tr w14:paraId="37A5802B">
        <w:tblPrEx>
          <w:tblCellMar>
            <w:top w:w="15" w:type="dxa"/>
            <w:left w:w="15" w:type="dxa"/>
            <w:bottom w:w="15" w:type="dxa"/>
            <w:right w:w="15" w:type="dxa"/>
          </w:tblCellMar>
        </w:tblPrEx>
        <w:trPr>
          <w:trHeight w:val="780" w:hRule="atLeast"/>
          <w:jc w:val="center"/>
        </w:trPr>
        <w:tc>
          <w:tcPr>
            <w:tcW w:w="918" w:type="dxa"/>
            <w:tcBorders>
              <w:left w:val="single" w:color="000000" w:sz="4" w:space="0"/>
              <w:bottom w:val="single" w:color="000000" w:sz="4" w:space="0"/>
              <w:right w:val="single" w:color="000000" w:sz="4" w:space="0"/>
            </w:tcBorders>
            <w:noWrap w:val="0"/>
            <w:vAlign w:val="center"/>
          </w:tcPr>
          <w:p w14:paraId="1DB834B8">
            <w:pPr>
              <w:widowControl/>
              <w:jc w:val="center"/>
              <w:textAlignment w:val="center"/>
              <w:rPr>
                <w:rFonts w:hint="eastAsia" w:ascii="宋体" w:hAnsi="宋体" w:cs="宋体"/>
                <w:sz w:val="24"/>
                <w:szCs w:val="24"/>
              </w:rPr>
            </w:pPr>
            <w:r>
              <w:rPr>
                <w:rFonts w:hint="eastAsia" w:ascii="宋体" w:hAnsi="宋体" w:cs="宋体"/>
                <w:kern w:val="0"/>
                <w:sz w:val="24"/>
                <w:szCs w:val="24"/>
              </w:rPr>
              <w:t>2</w:t>
            </w:r>
          </w:p>
        </w:tc>
        <w:tc>
          <w:tcPr>
            <w:tcW w:w="1060" w:type="dxa"/>
            <w:tcBorders>
              <w:bottom w:val="single" w:color="000000" w:sz="4" w:space="0"/>
              <w:right w:val="single" w:color="000000" w:sz="4" w:space="0"/>
            </w:tcBorders>
            <w:noWrap w:val="0"/>
            <w:vAlign w:val="center"/>
          </w:tcPr>
          <w:p w14:paraId="7C515EEC">
            <w:pPr>
              <w:widowControl/>
              <w:jc w:val="center"/>
              <w:textAlignment w:val="center"/>
              <w:rPr>
                <w:rFonts w:hint="eastAsia" w:ascii="宋体" w:hAnsi="宋体" w:cs="宋体"/>
                <w:sz w:val="24"/>
                <w:szCs w:val="24"/>
              </w:rPr>
            </w:pPr>
            <w:r>
              <w:rPr>
                <w:rFonts w:hint="eastAsia" w:ascii="宋体" w:hAnsi="宋体" w:cs="宋体"/>
                <w:kern w:val="0"/>
                <w:sz w:val="24"/>
                <w:szCs w:val="24"/>
              </w:rPr>
              <w:t>运营管理员</w:t>
            </w:r>
          </w:p>
        </w:tc>
        <w:tc>
          <w:tcPr>
            <w:tcW w:w="918" w:type="dxa"/>
            <w:tcBorders>
              <w:bottom w:val="single" w:color="000000" w:sz="4" w:space="0"/>
              <w:right w:val="single" w:color="000000" w:sz="4" w:space="0"/>
            </w:tcBorders>
            <w:noWrap w:val="0"/>
            <w:vAlign w:val="center"/>
          </w:tcPr>
          <w:p w14:paraId="78E4CF73">
            <w:pPr>
              <w:widowControl/>
              <w:jc w:val="center"/>
              <w:textAlignment w:val="center"/>
              <w:rPr>
                <w:rFonts w:hint="eastAsia" w:ascii="宋体" w:hAnsi="宋体" w:cs="宋体"/>
                <w:sz w:val="24"/>
                <w:szCs w:val="24"/>
              </w:rPr>
            </w:pPr>
            <w:r>
              <w:rPr>
                <w:rFonts w:hint="eastAsia" w:ascii="宋体" w:hAnsi="宋体" w:cs="宋体"/>
                <w:kern w:val="0"/>
                <w:sz w:val="24"/>
                <w:szCs w:val="24"/>
              </w:rPr>
              <w:t>7</w:t>
            </w:r>
          </w:p>
        </w:tc>
        <w:tc>
          <w:tcPr>
            <w:tcW w:w="4241" w:type="dxa"/>
            <w:tcBorders>
              <w:bottom w:val="single" w:color="000000" w:sz="4" w:space="0"/>
              <w:right w:val="single" w:color="000000" w:sz="4" w:space="0"/>
            </w:tcBorders>
            <w:noWrap w:val="0"/>
            <w:vAlign w:val="center"/>
          </w:tcPr>
          <w:p w14:paraId="6E89B7D7">
            <w:pPr>
              <w:widowControl/>
              <w:jc w:val="center"/>
              <w:textAlignment w:val="center"/>
              <w:rPr>
                <w:rFonts w:hint="eastAsia" w:ascii="宋体" w:hAnsi="宋体" w:cs="宋体"/>
                <w:sz w:val="24"/>
                <w:szCs w:val="24"/>
              </w:rPr>
            </w:pPr>
            <w:r>
              <w:rPr>
                <w:rFonts w:hint="eastAsia"/>
                <w:sz w:val="24"/>
                <w:szCs w:val="24"/>
              </w:rPr>
              <w:t>年龄不超过 55岁，负责场馆内的场地预定、收费、协助场馆人员组织赛事培训等活动以及大厅、男、女更衣室的管理等，同时服从临时指派的工作。</w:t>
            </w:r>
          </w:p>
        </w:tc>
        <w:tc>
          <w:tcPr>
            <w:tcW w:w="918" w:type="dxa"/>
            <w:tcBorders>
              <w:bottom w:val="single" w:color="000000" w:sz="4" w:space="0"/>
              <w:right w:val="single" w:color="000000" w:sz="4" w:space="0"/>
            </w:tcBorders>
            <w:noWrap w:val="0"/>
            <w:vAlign w:val="center"/>
          </w:tcPr>
          <w:p w14:paraId="6EC832C6">
            <w:pPr>
              <w:widowControl/>
              <w:jc w:val="center"/>
              <w:textAlignment w:val="center"/>
              <w:rPr>
                <w:rFonts w:hint="eastAsia" w:ascii="宋体" w:hAnsi="宋体" w:cs="宋体"/>
                <w:sz w:val="24"/>
                <w:szCs w:val="24"/>
              </w:rPr>
            </w:pPr>
            <w:r>
              <w:rPr>
                <w:rFonts w:hint="eastAsia" w:ascii="宋体" w:hAnsi="宋体" w:cs="宋体"/>
                <w:kern w:val="0"/>
                <w:sz w:val="24"/>
                <w:szCs w:val="24"/>
              </w:rPr>
              <w:t>否</w:t>
            </w:r>
          </w:p>
        </w:tc>
        <w:tc>
          <w:tcPr>
            <w:tcW w:w="918" w:type="dxa"/>
            <w:tcBorders>
              <w:bottom w:val="single" w:color="000000" w:sz="4" w:space="0"/>
              <w:right w:val="single" w:color="000000" w:sz="4" w:space="0"/>
            </w:tcBorders>
            <w:noWrap w:val="0"/>
            <w:vAlign w:val="center"/>
          </w:tcPr>
          <w:p w14:paraId="2C95E1B1">
            <w:pPr>
              <w:widowControl/>
              <w:jc w:val="center"/>
              <w:textAlignment w:val="center"/>
              <w:rPr>
                <w:rFonts w:ascii="宋体" w:hAnsi="宋体" w:cs="宋体"/>
                <w:sz w:val="24"/>
                <w:szCs w:val="24"/>
              </w:rPr>
            </w:pPr>
            <w:r>
              <w:rPr>
                <w:rFonts w:hint="eastAsia" w:ascii="宋体" w:hAnsi="宋体" w:cs="宋体"/>
                <w:kern w:val="0"/>
                <w:sz w:val="24"/>
                <w:szCs w:val="24"/>
              </w:rPr>
              <w:t>体育馆运营上一休一、网球馆运营上一休一</w:t>
            </w:r>
          </w:p>
        </w:tc>
      </w:tr>
      <w:tr w14:paraId="712A7852">
        <w:tblPrEx>
          <w:tblCellMar>
            <w:top w:w="15" w:type="dxa"/>
            <w:left w:w="15" w:type="dxa"/>
            <w:bottom w:w="15" w:type="dxa"/>
            <w:right w:w="15" w:type="dxa"/>
          </w:tblCellMar>
        </w:tblPrEx>
        <w:trPr>
          <w:trHeight w:val="1170" w:hRule="atLeast"/>
          <w:jc w:val="center"/>
        </w:trPr>
        <w:tc>
          <w:tcPr>
            <w:tcW w:w="918" w:type="dxa"/>
            <w:tcBorders>
              <w:left w:val="single" w:color="000000" w:sz="4" w:space="0"/>
              <w:bottom w:val="single" w:color="000000" w:sz="4" w:space="0"/>
              <w:right w:val="single" w:color="000000" w:sz="4" w:space="0"/>
            </w:tcBorders>
            <w:noWrap w:val="0"/>
            <w:vAlign w:val="center"/>
          </w:tcPr>
          <w:p w14:paraId="19198931">
            <w:pPr>
              <w:widowControl/>
              <w:jc w:val="center"/>
              <w:textAlignment w:val="center"/>
              <w:rPr>
                <w:rFonts w:hint="eastAsia" w:ascii="宋体" w:hAnsi="宋体" w:cs="宋体"/>
                <w:sz w:val="24"/>
                <w:szCs w:val="24"/>
              </w:rPr>
            </w:pPr>
            <w:r>
              <w:rPr>
                <w:rFonts w:hint="eastAsia" w:ascii="宋体" w:hAnsi="宋体" w:cs="宋体"/>
                <w:kern w:val="0"/>
                <w:sz w:val="24"/>
                <w:szCs w:val="24"/>
              </w:rPr>
              <w:t>3</w:t>
            </w:r>
          </w:p>
        </w:tc>
        <w:tc>
          <w:tcPr>
            <w:tcW w:w="1060" w:type="dxa"/>
            <w:tcBorders>
              <w:bottom w:val="single" w:color="000000" w:sz="4" w:space="0"/>
              <w:right w:val="single" w:color="000000" w:sz="4" w:space="0"/>
            </w:tcBorders>
            <w:noWrap w:val="0"/>
            <w:vAlign w:val="center"/>
          </w:tcPr>
          <w:p w14:paraId="4D1A357C">
            <w:pPr>
              <w:widowControl/>
              <w:jc w:val="center"/>
              <w:textAlignment w:val="center"/>
              <w:rPr>
                <w:rFonts w:hint="eastAsia" w:ascii="宋体" w:hAnsi="宋体" w:cs="宋体"/>
                <w:sz w:val="24"/>
                <w:szCs w:val="24"/>
              </w:rPr>
            </w:pPr>
            <w:r>
              <w:rPr>
                <w:rFonts w:hint="eastAsia" w:ascii="宋体" w:hAnsi="宋体" w:cs="宋体"/>
                <w:kern w:val="0"/>
                <w:sz w:val="24"/>
                <w:szCs w:val="24"/>
              </w:rPr>
              <w:t>保洁员</w:t>
            </w:r>
          </w:p>
        </w:tc>
        <w:tc>
          <w:tcPr>
            <w:tcW w:w="918" w:type="dxa"/>
            <w:tcBorders>
              <w:bottom w:val="single" w:color="000000" w:sz="4" w:space="0"/>
              <w:right w:val="single" w:color="000000" w:sz="4" w:space="0"/>
            </w:tcBorders>
            <w:noWrap w:val="0"/>
            <w:vAlign w:val="center"/>
          </w:tcPr>
          <w:p w14:paraId="4441E89A">
            <w:pPr>
              <w:widowControl/>
              <w:jc w:val="center"/>
              <w:textAlignment w:val="center"/>
              <w:rPr>
                <w:rFonts w:hint="eastAsia" w:ascii="宋体" w:hAnsi="宋体" w:cs="宋体"/>
                <w:sz w:val="24"/>
                <w:szCs w:val="24"/>
              </w:rPr>
            </w:pPr>
            <w:r>
              <w:rPr>
                <w:rFonts w:hint="eastAsia" w:ascii="宋体" w:hAnsi="宋体" w:cs="宋体"/>
                <w:kern w:val="0"/>
                <w:sz w:val="24"/>
                <w:szCs w:val="24"/>
              </w:rPr>
              <w:t>4</w:t>
            </w:r>
          </w:p>
        </w:tc>
        <w:tc>
          <w:tcPr>
            <w:tcW w:w="4241" w:type="dxa"/>
            <w:tcBorders>
              <w:bottom w:val="single" w:color="000000" w:sz="4" w:space="0"/>
              <w:right w:val="single" w:color="000000" w:sz="4" w:space="0"/>
            </w:tcBorders>
            <w:noWrap w:val="0"/>
            <w:vAlign w:val="center"/>
          </w:tcPr>
          <w:p w14:paraId="38E3A5A7">
            <w:pPr>
              <w:widowControl/>
              <w:jc w:val="center"/>
              <w:textAlignment w:val="center"/>
              <w:rPr>
                <w:rFonts w:hint="eastAsia" w:ascii="宋体" w:hAnsi="宋体" w:cs="宋体"/>
                <w:sz w:val="24"/>
                <w:szCs w:val="24"/>
              </w:rPr>
            </w:pPr>
            <w:r>
              <w:rPr>
                <w:rFonts w:hint="eastAsia" w:ascii="宋体" w:hAnsi="宋体" w:cs="宋体"/>
                <w:kern w:val="0"/>
                <w:sz w:val="24"/>
                <w:szCs w:val="24"/>
              </w:rPr>
              <w:t>女55周岁或以下，负责各个</w:t>
            </w:r>
            <w:r>
              <w:rPr>
                <w:rStyle w:val="88"/>
                <w:rFonts w:hint="default"/>
                <w:color w:val="auto"/>
              </w:rPr>
              <w:t>区域的巡回保洁及管辖区域的保洁保养及控烟管理</w:t>
            </w:r>
          </w:p>
        </w:tc>
        <w:tc>
          <w:tcPr>
            <w:tcW w:w="918" w:type="dxa"/>
            <w:tcBorders>
              <w:bottom w:val="single" w:color="000000" w:sz="4" w:space="0"/>
              <w:right w:val="single" w:color="000000" w:sz="4" w:space="0"/>
            </w:tcBorders>
            <w:noWrap w:val="0"/>
            <w:vAlign w:val="center"/>
          </w:tcPr>
          <w:p w14:paraId="5369F29E">
            <w:pPr>
              <w:widowControl/>
              <w:jc w:val="center"/>
              <w:textAlignment w:val="center"/>
              <w:rPr>
                <w:rFonts w:hint="eastAsia" w:ascii="宋体" w:hAnsi="宋体" w:cs="宋体"/>
                <w:sz w:val="24"/>
                <w:szCs w:val="24"/>
              </w:rPr>
            </w:pPr>
            <w:r>
              <w:rPr>
                <w:rFonts w:hint="eastAsia" w:ascii="宋体" w:hAnsi="宋体" w:cs="宋体"/>
                <w:kern w:val="0"/>
                <w:sz w:val="24"/>
                <w:szCs w:val="24"/>
              </w:rPr>
              <w:t>是</w:t>
            </w:r>
          </w:p>
        </w:tc>
        <w:tc>
          <w:tcPr>
            <w:tcW w:w="918" w:type="dxa"/>
            <w:tcBorders>
              <w:bottom w:val="single" w:color="000000" w:sz="4" w:space="0"/>
              <w:right w:val="single" w:color="000000" w:sz="4" w:space="0"/>
            </w:tcBorders>
            <w:noWrap w:val="0"/>
            <w:vAlign w:val="center"/>
          </w:tcPr>
          <w:p w14:paraId="64E60927">
            <w:pPr>
              <w:widowControl/>
              <w:jc w:val="center"/>
              <w:textAlignment w:val="center"/>
              <w:rPr>
                <w:rFonts w:ascii="宋体" w:hAnsi="宋体" w:cs="宋体"/>
                <w:sz w:val="24"/>
                <w:szCs w:val="24"/>
              </w:rPr>
            </w:pPr>
            <w:r>
              <w:rPr>
                <w:rFonts w:hint="eastAsia" w:ascii="宋体" w:hAnsi="宋体" w:cs="宋体"/>
                <w:sz w:val="24"/>
                <w:szCs w:val="24"/>
              </w:rPr>
              <w:t>体育场、网球馆除闭馆全年无休，体育馆上一休一</w:t>
            </w:r>
          </w:p>
        </w:tc>
      </w:tr>
      <w:tr w14:paraId="5ECEBB92">
        <w:tblPrEx>
          <w:tblCellMar>
            <w:top w:w="15" w:type="dxa"/>
            <w:left w:w="15" w:type="dxa"/>
            <w:bottom w:w="15" w:type="dxa"/>
            <w:right w:w="15" w:type="dxa"/>
          </w:tblCellMar>
        </w:tblPrEx>
        <w:trPr>
          <w:trHeight w:val="780" w:hRule="atLeast"/>
          <w:jc w:val="center"/>
        </w:trPr>
        <w:tc>
          <w:tcPr>
            <w:tcW w:w="918" w:type="dxa"/>
            <w:tcBorders>
              <w:left w:val="single" w:color="000000" w:sz="4" w:space="0"/>
              <w:bottom w:val="single" w:color="000000" w:sz="4" w:space="0"/>
              <w:right w:val="single" w:color="000000" w:sz="4" w:space="0"/>
            </w:tcBorders>
            <w:noWrap w:val="0"/>
            <w:vAlign w:val="center"/>
          </w:tcPr>
          <w:p w14:paraId="647BDA6B">
            <w:pPr>
              <w:widowControl/>
              <w:jc w:val="center"/>
              <w:textAlignment w:val="center"/>
              <w:rPr>
                <w:rFonts w:hint="eastAsia" w:ascii="宋体" w:hAnsi="宋体" w:cs="宋体"/>
                <w:sz w:val="24"/>
                <w:szCs w:val="24"/>
              </w:rPr>
            </w:pPr>
            <w:r>
              <w:rPr>
                <w:rFonts w:hint="eastAsia" w:ascii="宋体" w:hAnsi="宋体" w:cs="宋体"/>
                <w:kern w:val="0"/>
                <w:sz w:val="24"/>
                <w:szCs w:val="24"/>
              </w:rPr>
              <w:t>4</w:t>
            </w:r>
          </w:p>
        </w:tc>
        <w:tc>
          <w:tcPr>
            <w:tcW w:w="1060" w:type="dxa"/>
            <w:tcBorders>
              <w:bottom w:val="single" w:color="000000" w:sz="4" w:space="0"/>
              <w:right w:val="single" w:color="000000" w:sz="4" w:space="0"/>
            </w:tcBorders>
            <w:noWrap w:val="0"/>
            <w:vAlign w:val="center"/>
          </w:tcPr>
          <w:p w14:paraId="23305614">
            <w:pPr>
              <w:widowControl/>
              <w:jc w:val="center"/>
              <w:textAlignment w:val="center"/>
              <w:rPr>
                <w:rFonts w:hint="eastAsia" w:ascii="宋体" w:hAnsi="宋体" w:cs="宋体"/>
                <w:sz w:val="24"/>
                <w:szCs w:val="24"/>
              </w:rPr>
            </w:pPr>
            <w:r>
              <w:rPr>
                <w:rFonts w:hint="eastAsia" w:ascii="宋体" w:hAnsi="宋体" w:cs="宋体"/>
                <w:kern w:val="0"/>
                <w:sz w:val="24"/>
                <w:szCs w:val="24"/>
              </w:rPr>
              <w:t>电工</w:t>
            </w:r>
          </w:p>
        </w:tc>
        <w:tc>
          <w:tcPr>
            <w:tcW w:w="918" w:type="dxa"/>
            <w:tcBorders>
              <w:bottom w:val="single" w:color="000000" w:sz="4" w:space="0"/>
              <w:right w:val="single" w:color="000000" w:sz="4" w:space="0"/>
            </w:tcBorders>
            <w:noWrap w:val="0"/>
            <w:vAlign w:val="center"/>
          </w:tcPr>
          <w:p w14:paraId="06B9A2C8">
            <w:pPr>
              <w:widowControl/>
              <w:jc w:val="center"/>
              <w:textAlignment w:val="center"/>
              <w:rPr>
                <w:rFonts w:hint="eastAsia" w:ascii="宋体" w:hAnsi="宋体" w:cs="宋体"/>
                <w:sz w:val="24"/>
                <w:szCs w:val="24"/>
              </w:rPr>
            </w:pPr>
            <w:r>
              <w:rPr>
                <w:rFonts w:hint="eastAsia" w:ascii="宋体" w:hAnsi="宋体" w:cs="宋体"/>
                <w:sz w:val="24"/>
                <w:szCs w:val="24"/>
              </w:rPr>
              <w:t>1</w:t>
            </w:r>
          </w:p>
        </w:tc>
        <w:tc>
          <w:tcPr>
            <w:tcW w:w="4241" w:type="dxa"/>
            <w:tcBorders>
              <w:bottom w:val="single" w:color="000000" w:sz="4" w:space="0"/>
              <w:right w:val="single" w:color="000000" w:sz="4" w:space="0"/>
            </w:tcBorders>
            <w:noWrap w:val="0"/>
            <w:vAlign w:val="center"/>
          </w:tcPr>
          <w:p w14:paraId="57486B19">
            <w:pPr>
              <w:widowControl/>
              <w:jc w:val="center"/>
              <w:textAlignment w:val="center"/>
              <w:rPr>
                <w:rFonts w:ascii="宋体" w:hAnsi="宋体" w:cs="宋体"/>
                <w:sz w:val="24"/>
                <w:szCs w:val="24"/>
              </w:rPr>
            </w:pPr>
            <w:r>
              <w:rPr>
                <w:rFonts w:hint="eastAsia" w:ascii="宋体" w:hAnsi="宋体" w:cs="宋体"/>
                <w:sz w:val="24"/>
                <w:szCs w:val="24"/>
              </w:rPr>
              <w:t>日常电器维修保养，高压变电室日常值班巡视，低压线路用电设备每日巡视。以及场馆临时交办的任务。</w:t>
            </w:r>
            <w:r>
              <w:rPr>
                <w:rFonts w:hint="eastAsia" w:ascii="宋体" w:hAnsi="宋体" w:cs="宋体"/>
                <w:sz w:val="24"/>
                <w:szCs w:val="24"/>
                <w:lang w:eastAsia="zh-CN"/>
              </w:rPr>
              <w:t>持有</w:t>
            </w:r>
            <w:r>
              <w:rPr>
                <w:rFonts w:hint="eastAsia"/>
                <w:kern w:val="0"/>
                <w:sz w:val="24"/>
                <w:szCs w:val="24"/>
              </w:rPr>
              <w:t>《特种作业操作证（低压电工作业）》和《特种作业操作证（高压电工作业）》证书</w:t>
            </w:r>
          </w:p>
        </w:tc>
        <w:tc>
          <w:tcPr>
            <w:tcW w:w="918" w:type="dxa"/>
            <w:tcBorders>
              <w:bottom w:val="single" w:color="000000" w:sz="4" w:space="0"/>
              <w:right w:val="single" w:color="000000" w:sz="4" w:space="0"/>
            </w:tcBorders>
            <w:noWrap w:val="0"/>
            <w:vAlign w:val="center"/>
          </w:tcPr>
          <w:p w14:paraId="4E8D43EA">
            <w:pPr>
              <w:widowControl/>
              <w:jc w:val="center"/>
              <w:textAlignment w:val="center"/>
              <w:rPr>
                <w:rFonts w:hint="eastAsia" w:ascii="宋体" w:hAnsi="宋体" w:cs="宋体"/>
                <w:sz w:val="24"/>
                <w:szCs w:val="24"/>
              </w:rPr>
            </w:pPr>
            <w:r>
              <w:rPr>
                <w:rFonts w:hint="eastAsia" w:ascii="宋体" w:hAnsi="宋体" w:cs="宋体"/>
                <w:kern w:val="0"/>
                <w:sz w:val="24"/>
                <w:szCs w:val="24"/>
              </w:rPr>
              <w:t>否</w:t>
            </w:r>
          </w:p>
        </w:tc>
        <w:tc>
          <w:tcPr>
            <w:tcW w:w="918" w:type="dxa"/>
            <w:tcBorders>
              <w:bottom w:val="single" w:color="000000" w:sz="4" w:space="0"/>
              <w:right w:val="single" w:color="000000" w:sz="4" w:space="0"/>
            </w:tcBorders>
            <w:noWrap w:val="0"/>
            <w:vAlign w:val="center"/>
          </w:tcPr>
          <w:p w14:paraId="710F47A8">
            <w:pPr>
              <w:widowControl/>
              <w:jc w:val="center"/>
              <w:textAlignment w:val="center"/>
              <w:rPr>
                <w:rFonts w:ascii="宋体" w:hAnsi="宋体" w:cs="宋体"/>
                <w:sz w:val="24"/>
                <w:szCs w:val="24"/>
              </w:rPr>
            </w:pPr>
            <w:r>
              <w:rPr>
                <w:rFonts w:hint="eastAsia" w:ascii="宋体" w:hAnsi="宋体" w:cs="宋体"/>
                <w:kern w:val="0"/>
                <w:sz w:val="24"/>
                <w:szCs w:val="24"/>
              </w:rPr>
              <w:t>上12歇24</w:t>
            </w:r>
          </w:p>
        </w:tc>
      </w:tr>
      <w:tr w14:paraId="2D15B277">
        <w:tblPrEx>
          <w:tblCellMar>
            <w:top w:w="15" w:type="dxa"/>
            <w:left w:w="15" w:type="dxa"/>
            <w:bottom w:w="15" w:type="dxa"/>
            <w:right w:w="15" w:type="dxa"/>
          </w:tblCellMar>
        </w:tblPrEx>
        <w:trPr>
          <w:trHeight w:val="285" w:hRule="atLeast"/>
          <w:jc w:val="center"/>
        </w:trPr>
        <w:tc>
          <w:tcPr>
            <w:tcW w:w="1978" w:type="dxa"/>
            <w:gridSpan w:val="2"/>
            <w:tcBorders>
              <w:left w:val="single" w:color="000000" w:sz="4" w:space="0"/>
              <w:bottom w:val="single" w:color="000000" w:sz="4" w:space="0"/>
              <w:right w:val="single" w:color="000000" w:sz="4" w:space="0"/>
            </w:tcBorders>
            <w:noWrap w:val="0"/>
            <w:vAlign w:val="center"/>
          </w:tcPr>
          <w:p w14:paraId="2A6D121D">
            <w:pPr>
              <w:widowControl/>
              <w:jc w:val="center"/>
              <w:textAlignment w:val="center"/>
              <w:rPr>
                <w:rFonts w:hint="eastAsia" w:ascii="宋体" w:hAnsi="宋体" w:cs="宋体"/>
                <w:sz w:val="24"/>
                <w:szCs w:val="24"/>
              </w:rPr>
            </w:pPr>
            <w:r>
              <w:rPr>
                <w:rFonts w:hint="eastAsia" w:ascii="宋体" w:hAnsi="宋体" w:cs="宋体"/>
                <w:kern w:val="0"/>
                <w:sz w:val="24"/>
                <w:szCs w:val="24"/>
              </w:rPr>
              <w:t>合计人数</w:t>
            </w:r>
          </w:p>
        </w:tc>
        <w:tc>
          <w:tcPr>
            <w:tcW w:w="6995" w:type="dxa"/>
            <w:gridSpan w:val="4"/>
            <w:tcBorders>
              <w:bottom w:val="single" w:color="000000" w:sz="4" w:space="0"/>
              <w:right w:val="single" w:color="000000" w:sz="4" w:space="0"/>
            </w:tcBorders>
            <w:noWrap w:val="0"/>
            <w:vAlign w:val="center"/>
          </w:tcPr>
          <w:p w14:paraId="6D06FD86">
            <w:pPr>
              <w:widowControl/>
              <w:jc w:val="center"/>
              <w:textAlignment w:val="center"/>
              <w:rPr>
                <w:rFonts w:hint="eastAsia" w:ascii="宋体" w:hAnsi="宋体" w:cs="宋体"/>
                <w:color w:val="C00000"/>
                <w:sz w:val="24"/>
                <w:szCs w:val="24"/>
              </w:rPr>
            </w:pPr>
            <w:r>
              <w:rPr>
                <w:rStyle w:val="88"/>
                <w:rFonts w:hint="default"/>
                <w:color w:val="auto"/>
              </w:rPr>
              <w:t>19人</w:t>
            </w:r>
          </w:p>
        </w:tc>
      </w:tr>
    </w:tbl>
    <w:p w14:paraId="749AE541">
      <w:pPr>
        <w:spacing w:line="520" w:lineRule="exact"/>
        <w:ind w:left="97" w:leftChars="50" w:firstLine="448" w:firstLineChars="200"/>
        <w:rPr>
          <w:rFonts w:ascii="宋体" w:hAnsi="宋体"/>
          <w:b/>
          <w:bCs/>
          <w:sz w:val="24"/>
          <w:szCs w:val="24"/>
        </w:rPr>
      </w:pPr>
      <w:r>
        <w:rPr>
          <w:rFonts w:hint="eastAsia" w:ascii="宋体" w:hAnsi="宋体"/>
          <w:b/>
          <w:bCs/>
          <w:sz w:val="24"/>
          <w:szCs w:val="24"/>
        </w:rPr>
        <w:t>以上服务人员共计</w:t>
      </w:r>
      <w:r>
        <w:rPr>
          <w:rFonts w:hint="eastAsia" w:ascii="宋体" w:hAnsi="宋体"/>
          <w:b/>
          <w:bCs/>
          <w:sz w:val="24"/>
          <w:szCs w:val="24"/>
          <w:u w:val="single"/>
        </w:rPr>
        <w:t>1</w:t>
      </w:r>
      <w:r>
        <w:rPr>
          <w:rFonts w:hint="eastAsia" w:ascii="宋体" w:hAnsi="宋体"/>
          <w:b/>
          <w:bCs/>
          <w:sz w:val="24"/>
          <w:szCs w:val="24"/>
          <w:u w:val="single"/>
          <w:lang w:val="en-US" w:eastAsia="zh-CN"/>
        </w:rPr>
        <w:t>9</w:t>
      </w:r>
      <w:r>
        <w:rPr>
          <w:rFonts w:hint="eastAsia" w:ascii="宋体" w:hAnsi="宋体"/>
          <w:b/>
          <w:bCs/>
          <w:sz w:val="24"/>
          <w:szCs w:val="24"/>
        </w:rPr>
        <w:t>人。</w:t>
      </w:r>
    </w:p>
    <w:p w14:paraId="59132CFA">
      <w:pPr>
        <w:numPr>
          <w:ilvl w:val="0"/>
          <w:numId w:val="4"/>
        </w:numPr>
        <w:spacing w:line="520" w:lineRule="exact"/>
        <w:ind w:firstLine="448" w:firstLineChars="200"/>
        <w:rPr>
          <w:rFonts w:hint="eastAsia" w:ascii="宋体" w:hAnsi="宋体"/>
          <w:b/>
          <w:sz w:val="24"/>
          <w:szCs w:val="24"/>
        </w:rPr>
      </w:pPr>
      <w:r>
        <w:rPr>
          <w:rFonts w:hint="eastAsia" w:ascii="宋体" w:hAnsi="宋体"/>
          <w:b/>
          <w:sz w:val="24"/>
          <w:szCs w:val="24"/>
        </w:rPr>
        <w:t>招标服务范围和服务标准</w:t>
      </w:r>
    </w:p>
    <w:p w14:paraId="385785F3">
      <w:pPr>
        <w:pStyle w:val="2"/>
        <w:ind w:firstLine="480"/>
      </w:pPr>
      <w:r>
        <w:rPr>
          <w:rFonts w:hint="eastAsia"/>
        </w:rPr>
        <w:t>1. 楼宇建筑本体巡视管理</w:t>
      </w:r>
    </w:p>
    <w:p w14:paraId="50C0C0C3">
      <w:pPr>
        <w:pStyle w:val="2"/>
        <w:ind w:firstLine="480"/>
      </w:pPr>
      <w:r>
        <w:rPr>
          <w:rFonts w:hint="eastAsia"/>
        </w:rPr>
        <w:t>1.1  范围：包括楼顶、梁、柱、内外墙体等部位、内外檐、楼梯间、走廊通道、设备机房等以及室外附属建筑设施。</w:t>
      </w:r>
    </w:p>
    <w:p w14:paraId="56E9465A">
      <w:pPr>
        <w:pStyle w:val="2"/>
        <w:ind w:firstLine="480"/>
      </w:pPr>
      <w:r>
        <w:rPr>
          <w:rFonts w:hint="eastAsia"/>
        </w:rPr>
        <w:t>1.2  服务标准</w:t>
      </w:r>
    </w:p>
    <w:p w14:paraId="6F1265B1">
      <w:pPr>
        <w:pStyle w:val="2"/>
        <w:ind w:firstLine="480"/>
      </w:pPr>
      <w:r>
        <w:rPr>
          <w:rFonts w:hint="eastAsia"/>
        </w:rPr>
        <w:t>1.2.1  建立楼宇巡视台帐，每日巡查二次，有巡查记录。</w:t>
      </w:r>
    </w:p>
    <w:p w14:paraId="6B76F298">
      <w:pPr>
        <w:pStyle w:val="2"/>
        <w:ind w:firstLine="480"/>
      </w:pPr>
      <w:r>
        <w:rPr>
          <w:rFonts w:hint="eastAsia"/>
        </w:rPr>
        <w:t>1.2.2  发现异常情况及时上报，通知相关单位，跟进问题解决。</w:t>
      </w:r>
    </w:p>
    <w:p w14:paraId="5646ACB1">
      <w:pPr>
        <w:pStyle w:val="2"/>
        <w:ind w:firstLine="480"/>
      </w:pPr>
      <w:r>
        <w:rPr>
          <w:rFonts w:hint="eastAsia"/>
        </w:rPr>
        <w:t>2. 楼宇设施设备的巡查及管理</w:t>
      </w:r>
    </w:p>
    <w:p w14:paraId="4AB8FA58">
      <w:pPr>
        <w:pStyle w:val="2"/>
        <w:ind w:firstLine="480"/>
      </w:pPr>
      <w:r>
        <w:rPr>
          <w:rFonts w:hint="eastAsia"/>
        </w:rPr>
        <w:t>2.1  范围</w:t>
      </w:r>
    </w:p>
    <w:p w14:paraId="042F829E">
      <w:pPr>
        <w:pStyle w:val="2"/>
        <w:ind w:firstLine="480"/>
        <w:rPr>
          <w:rFonts w:hint="eastAsia"/>
        </w:rPr>
      </w:pPr>
      <w:r>
        <w:rPr>
          <w:rFonts w:hint="eastAsia"/>
        </w:rPr>
        <w:t>2.1.1  消防系统</w:t>
      </w:r>
    </w:p>
    <w:p w14:paraId="5A2F1D00">
      <w:pPr>
        <w:pStyle w:val="2"/>
        <w:ind w:firstLine="480"/>
      </w:pPr>
      <w:r>
        <w:rPr>
          <w:rFonts w:hint="eastAsia"/>
        </w:rPr>
        <w:t>2.1.1.1 消防系统：消防供配电设施、 火警自动报警系统、自动喷水灭火系统、消防给水设施、室内消火栓系统、机械排烟系统、应急广播系统、应急照明和疏散指示标志系统。</w:t>
      </w:r>
    </w:p>
    <w:p w14:paraId="12ADD1A3">
      <w:pPr>
        <w:pStyle w:val="2"/>
        <w:ind w:firstLine="480"/>
      </w:pPr>
      <w:r>
        <w:rPr>
          <w:rFonts w:hint="eastAsia"/>
        </w:rPr>
        <w:t>2.1.2  变配电系统</w:t>
      </w:r>
    </w:p>
    <w:p w14:paraId="3EEC47FB">
      <w:pPr>
        <w:pStyle w:val="2"/>
        <w:ind w:firstLine="480"/>
      </w:pPr>
      <w:r>
        <w:rPr>
          <w:rFonts w:hint="eastAsia"/>
        </w:rPr>
        <w:t>2.1.2.1  变电系统：变配电箱、变电站、计量柜。</w:t>
      </w:r>
    </w:p>
    <w:p w14:paraId="2783439A">
      <w:pPr>
        <w:pStyle w:val="2"/>
        <w:ind w:firstLine="480"/>
      </w:pPr>
      <w:r>
        <w:rPr>
          <w:rFonts w:hint="eastAsia"/>
        </w:rPr>
        <w:t>2.1.2.2  楼层配电系统 ：配电箱以及与之相关的线路、设备。</w:t>
      </w:r>
    </w:p>
    <w:p w14:paraId="66D8830F">
      <w:pPr>
        <w:pStyle w:val="2"/>
        <w:ind w:firstLine="480"/>
      </w:pPr>
      <w:r>
        <w:rPr>
          <w:rFonts w:hint="eastAsia"/>
        </w:rPr>
        <w:t>2.1.2.3  公共照明系统：开关、灯具及与之相关的线路。</w:t>
      </w:r>
    </w:p>
    <w:p w14:paraId="39920F6A">
      <w:pPr>
        <w:pStyle w:val="2"/>
        <w:ind w:firstLine="480"/>
      </w:pPr>
      <w:r>
        <w:rPr>
          <w:rFonts w:hint="eastAsia"/>
        </w:rPr>
        <w:t>2.1.2.4  日常用电  线路以及与之相关的所设备。</w:t>
      </w:r>
    </w:p>
    <w:p w14:paraId="20FAFCE2">
      <w:pPr>
        <w:pStyle w:val="2"/>
        <w:ind w:firstLine="480"/>
      </w:pPr>
      <w:r>
        <w:rPr>
          <w:rFonts w:hint="eastAsia"/>
        </w:rPr>
        <w:t>2.1.2.5  消防设施用电：设备用电、应急照明等。</w:t>
      </w:r>
    </w:p>
    <w:p w14:paraId="62CB6C73">
      <w:pPr>
        <w:pStyle w:val="2"/>
        <w:ind w:firstLine="480"/>
      </w:pPr>
      <w:r>
        <w:rPr>
          <w:rFonts w:hint="eastAsia"/>
        </w:rPr>
        <w:t>2.1.3  安防系统</w:t>
      </w:r>
    </w:p>
    <w:p w14:paraId="01112C65">
      <w:pPr>
        <w:pStyle w:val="2"/>
        <w:ind w:firstLine="480"/>
      </w:pPr>
      <w:r>
        <w:rPr>
          <w:rFonts w:hint="eastAsia"/>
        </w:rPr>
        <w:t>2.1.3.1  门禁系统：道闸（杆）、电动伸缩门等。</w:t>
      </w:r>
    </w:p>
    <w:p w14:paraId="2F162A98">
      <w:pPr>
        <w:pStyle w:val="2"/>
        <w:ind w:firstLine="480"/>
        <w:rPr>
          <w:rFonts w:hint="eastAsia"/>
        </w:rPr>
      </w:pPr>
      <w:r>
        <w:rPr>
          <w:rFonts w:hint="eastAsia"/>
        </w:rPr>
        <w:t>2.1.3.2  闭路监控系统：控制台、视频器、摄像头、转换器等及与之相关的线路、设备。</w:t>
      </w:r>
    </w:p>
    <w:p w14:paraId="60C74650">
      <w:pPr>
        <w:pStyle w:val="2"/>
        <w:ind w:firstLine="480"/>
      </w:pPr>
      <w:r>
        <w:rPr>
          <w:rFonts w:hint="eastAsia"/>
        </w:rPr>
        <w:t>2.1.4电梯</w:t>
      </w:r>
    </w:p>
    <w:p w14:paraId="158E3E06">
      <w:pPr>
        <w:pStyle w:val="2"/>
        <w:ind w:firstLine="480"/>
      </w:pPr>
      <w:r>
        <w:rPr>
          <w:rFonts w:hint="eastAsia"/>
        </w:rPr>
        <w:t>2.2  服务标准</w:t>
      </w:r>
    </w:p>
    <w:p w14:paraId="15CC6E46">
      <w:pPr>
        <w:pStyle w:val="2"/>
        <w:ind w:firstLine="480"/>
      </w:pPr>
      <w:r>
        <w:rPr>
          <w:rFonts w:hint="eastAsia"/>
        </w:rPr>
        <w:t>2.2.1  设施设备运行状况良好，无事故隐患；依据设施设备特性，定期巡查，有记录；设施设备清洁、仪表指示正常；保证设施设备检测单位严格按照有关规章制度实施作业，无事故无人员伤亡。</w:t>
      </w:r>
    </w:p>
    <w:p w14:paraId="66DF64E2">
      <w:pPr>
        <w:pStyle w:val="2"/>
        <w:ind w:firstLine="480"/>
        <w:rPr>
          <w:rFonts w:hint="eastAsia"/>
        </w:rPr>
      </w:pPr>
      <w:r>
        <w:rPr>
          <w:rFonts w:hint="eastAsia"/>
        </w:rPr>
        <w:t>2.2.2  建立楼宇建筑本体及构筑物基础数据管理台账；每月巡查1次，填写巡查记录并存档；对巡查发现的问题及时书面上报，并跟进问题解决。楼宇屋顶及外檐防水良好，无破损；门窗使用功能良好；楼宇内装无破损。道路设施路面每周巡查1次，道路平整畅通，无明显缺损，交通标志齐全规范，设施正常使用。</w:t>
      </w:r>
    </w:p>
    <w:p w14:paraId="665AF090">
      <w:pPr>
        <w:pStyle w:val="2"/>
        <w:ind w:firstLine="480"/>
      </w:pPr>
      <w:r>
        <w:rPr>
          <w:rFonts w:hint="eastAsia"/>
        </w:rPr>
        <w:t>2.2.3  消防系统按照国家执行标准定期进行功能检测、并提交检测报告。每月进行一次巡检，并填写检查记录。每半年进行一次全面检测、并出具检测报告。消防设施如出现故障，及时维修，确保消防设施正常运行。</w:t>
      </w:r>
    </w:p>
    <w:p w14:paraId="7EB24B13">
      <w:pPr>
        <w:pStyle w:val="2"/>
        <w:ind w:firstLine="480"/>
        <w:rPr>
          <w:rFonts w:hint="eastAsia"/>
        </w:rPr>
      </w:pPr>
      <w:r>
        <w:rPr>
          <w:rFonts w:hint="eastAsia"/>
        </w:rPr>
        <w:t>2.2.4  配电柜、计量柜、闸刀、母排及线路情况；每日检查1次；保证变电设备、配电设备运行正常，标识清楚齐全；公共照明每日1次对公共照明设备进行检查。</w:t>
      </w:r>
    </w:p>
    <w:p w14:paraId="47A62011">
      <w:pPr>
        <w:pStyle w:val="2"/>
        <w:ind w:firstLine="480"/>
        <w:rPr>
          <w:rFonts w:hint="eastAsia"/>
        </w:rPr>
      </w:pPr>
      <w:r>
        <w:rPr>
          <w:rFonts w:hint="eastAsia"/>
        </w:rPr>
        <w:t>2.2.5 给水系统每周检查1次，每半年对明装给水管道进行1次全面检查，无渗漏、保温层完好，阀门开闭灵活。排水系统，每月巡查1次。</w:t>
      </w:r>
    </w:p>
    <w:p w14:paraId="2FC5E1E3">
      <w:pPr>
        <w:pStyle w:val="2"/>
        <w:ind w:firstLine="480"/>
        <w:rPr>
          <w:rFonts w:hint="eastAsia"/>
        </w:rPr>
      </w:pPr>
      <w:r>
        <w:rPr>
          <w:rFonts w:hint="eastAsia"/>
        </w:rPr>
        <w:t>2.2.6 安防监控系统每日次检查1次，发现异常，及时处理，每月定期进行调试；设备正常运行、安装可靠、整洁有序。</w:t>
      </w:r>
    </w:p>
    <w:p w14:paraId="6E5EE73C">
      <w:pPr>
        <w:pStyle w:val="2"/>
        <w:ind w:firstLine="480"/>
        <w:rPr>
          <w:rFonts w:hint="eastAsia"/>
        </w:rPr>
      </w:pPr>
      <w:r>
        <w:rPr>
          <w:rFonts w:hint="eastAsia"/>
        </w:rPr>
        <w:t>2.2.7每月对电梯进行不少于两次的定期检查维护保养并提供24小时急修服务，每年进行年检，提供年检报告。</w:t>
      </w:r>
    </w:p>
    <w:p w14:paraId="6DBDA32B">
      <w:pPr>
        <w:pStyle w:val="2"/>
        <w:ind w:firstLine="480"/>
        <w:rPr>
          <w:rFonts w:hint="eastAsia"/>
        </w:rPr>
      </w:pPr>
      <w:r>
        <w:rPr>
          <w:rFonts w:hint="eastAsia"/>
        </w:rPr>
        <w:t>2.2.8空调系统，每年一次对空调进行一下保养，清洗、补氟。日常开关。如需大型维修双方协商。</w:t>
      </w:r>
    </w:p>
    <w:p w14:paraId="1055AC82">
      <w:pPr>
        <w:pStyle w:val="2"/>
        <w:ind w:firstLine="480"/>
        <w:rPr>
          <w:rFonts w:hint="eastAsia"/>
        </w:rPr>
      </w:pPr>
      <w:r>
        <w:rPr>
          <w:rFonts w:hint="eastAsia"/>
        </w:rPr>
        <w:t>2.2.8所有维保服务要求 报修30分钟到场，零修小修24小时解决，中修、大修3日内确定维修组织方案，定时通知提示采购人对相关专业设施设备进行检测及维护。</w:t>
      </w:r>
    </w:p>
    <w:p w14:paraId="63AF7F22">
      <w:pPr>
        <w:pStyle w:val="2"/>
        <w:ind w:firstLine="480"/>
      </w:pPr>
      <w:r>
        <w:rPr>
          <w:rFonts w:hint="eastAsia"/>
        </w:rPr>
        <w:t>3. 安全秩序与安全保卫管理</w:t>
      </w:r>
    </w:p>
    <w:p w14:paraId="365A7D17">
      <w:pPr>
        <w:pStyle w:val="2"/>
        <w:ind w:firstLine="480"/>
      </w:pPr>
      <w:r>
        <w:rPr>
          <w:rFonts w:hint="eastAsia"/>
        </w:rPr>
        <w:t>3.1  范围</w:t>
      </w:r>
    </w:p>
    <w:p w14:paraId="7B87EA57">
      <w:pPr>
        <w:pStyle w:val="2"/>
        <w:ind w:firstLine="480"/>
      </w:pPr>
      <w:r>
        <w:rPr>
          <w:rFonts w:hint="eastAsia"/>
        </w:rPr>
        <w:t>3.1.1  安全防范管理：包括访客进出、机动车辆进出和大宗物资进出登记检查，楼层巡逻和外围区域巡逻，门禁定时关闭，技防设施运行管理。</w:t>
      </w:r>
    </w:p>
    <w:p w14:paraId="3FF70335">
      <w:pPr>
        <w:pStyle w:val="2"/>
        <w:ind w:firstLine="480"/>
      </w:pPr>
      <w:r>
        <w:rPr>
          <w:rFonts w:hint="eastAsia"/>
        </w:rPr>
        <w:t>3.1.2  公共秩序维护管理包括物业管理区内导行、值勤、巡逻和秩序维持。</w:t>
      </w:r>
    </w:p>
    <w:p w14:paraId="5A12AD5C">
      <w:pPr>
        <w:pStyle w:val="2"/>
        <w:ind w:firstLine="480"/>
      </w:pPr>
      <w:r>
        <w:rPr>
          <w:rFonts w:hint="eastAsia"/>
        </w:rPr>
        <w:t>3.1.3  车辆疏导和停放管理。</w:t>
      </w:r>
    </w:p>
    <w:p w14:paraId="61B762C6">
      <w:pPr>
        <w:pStyle w:val="2"/>
        <w:ind w:firstLine="480"/>
      </w:pPr>
      <w:r>
        <w:rPr>
          <w:rFonts w:hint="eastAsia"/>
        </w:rPr>
        <w:t>3.1.4  对违规行为应采取规劝、制止等措施管理。</w:t>
      </w:r>
    </w:p>
    <w:p w14:paraId="431498FA">
      <w:pPr>
        <w:pStyle w:val="2"/>
        <w:ind w:firstLine="480"/>
      </w:pPr>
      <w:r>
        <w:rPr>
          <w:rFonts w:hint="eastAsia"/>
        </w:rPr>
        <w:t>3.1.5  夜间巡逻、值班安全管理。</w:t>
      </w:r>
    </w:p>
    <w:p w14:paraId="33E65418">
      <w:pPr>
        <w:pStyle w:val="2"/>
        <w:ind w:firstLine="480"/>
      </w:pPr>
      <w:r>
        <w:rPr>
          <w:rFonts w:hint="eastAsia"/>
        </w:rPr>
        <w:t>3.1.6  突发事件应急处理。</w:t>
      </w:r>
    </w:p>
    <w:p w14:paraId="13B97499">
      <w:pPr>
        <w:pStyle w:val="2"/>
        <w:ind w:firstLine="480"/>
      </w:pPr>
      <w:r>
        <w:rPr>
          <w:rFonts w:hint="eastAsia"/>
        </w:rPr>
        <w:t>3.1.7  消防安全管理包括设施巡检。</w:t>
      </w:r>
    </w:p>
    <w:p w14:paraId="1D275D46">
      <w:pPr>
        <w:pStyle w:val="2"/>
        <w:ind w:firstLine="480"/>
      </w:pPr>
      <w:r>
        <w:rPr>
          <w:rFonts w:hint="eastAsia"/>
        </w:rPr>
        <w:t>3.2  服务标准：</w:t>
      </w:r>
    </w:p>
    <w:p w14:paraId="1DA53FE3">
      <w:pPr>
        <w:pStyle w:val="2"/>
        <w:ind w:firstLine="480"/>
      </w:pPr>
      <w:r>
        <w:rPr>
          <w:rFonts w:hint="eastAsia"/>
        </w:rPr>
        <w:t>3.2.1  员工必须穿统一制服，佩戴胸卡，使用文明用语，严守职责；现场服务文明礼貌服务。</w:t>
      </w:r>
    </w:p>
    <w:p w14:paraId="2A215B4D">
      <w:pPr>
        <w:pStyle w:val="2"/>
        <w:ind w:firstLine="480"/>
      </w:pPr>
      <w:r>
        <w:rPr>
          <w:rFonts w:hint="eastAsia"/>
        </w:rPr>
        <w:t>3.2.2  按规定制定相应的治安保卫管理制度，岗位职责和相对应预案，定期巡视，检查和维护监控及其他设施，能熟练操作各类治安设施。</w:t>
      </w:r>
    </w:p>
    <w:p w14:paraId="473CF896">
      <w:pPr>
        <w:pStyle w:val="2"/>
        <w:ind w:firstLine="480"/>
      </w:pPr>
      <w:r>
        <w:rPr>
          <w:rFonts w:hint="eastAsia"/>
        </w:rPr>
        <w:t>3.2.3  门岗区域24小时值守；岗亭每日清洁1次，环境整洁，工具物品摆放有序；班次交接规范；值班记录完整准确。</w:t>
      </w:r>
    </w:p>
    <w:p w14:paraId="06396659">
      <w:pPr>
        <w:pStyle w:val="2"/>
        <w:ind w:firstLine="480"/>
      </w:pPr>
      <w:r>
        <w:rPr>
          <w:rFonts w:hint="eastAsia"/>
        </w:rPr>
        <w:t>3.2.4  门岗实行车辆及大宗物资实行出入查验制度，车辆行驶停放有序，无交通堵塞现象发生。</w:t>
      </w:r>
    </w:p>
    <w:p w14:paraId="05394456">
      <w:pPr>
        <w:pStyle w:val="2"/>
        <w:ind w:firstLine="480"/>
      </w:pPr>
      <w:r>
        <w:rPr>
          <w:rFonts w:hint="eastAsia"/>
        </w:rPr>
        <w:t>3.2.5  巡逻每两小时1次，发现问题及时报告，有突发事件处理记录和改进举措；按巡逻路径规范巡逻，及时发现可疑状况并处理，巡逻路径无死角，不定时更换巡逻路径；配带对讲机、手电等必备工具，反应快速；对管理区域内的消防设施每日巡查并有巡查记录，发现问题及时通报相关部门。巡逻过程中对可疑人员进行询问，发现火警或治安隐患、事故及时报告。</w:t>
      </w:r>
    </w:p>
    <w:p w14:paraId="2609A821">
      <w:pPr>
        <w:pStyle w:val="2"/>
        <w:ind w:firstLine="480"/>
      </w:pPr>
      <w:r>
        <w:rPr>
          <w:rFonts w:hint="eastAsia"/>
        </w:rPr>
        <w:t>3.2.6  制定突发事件应急处理预案，每季度演练，应急处理有效。</w:t>
      </w:r>
    </w:p>
    <w:p w14:paraId="2FF6D4D7">
      <w:pPr>
        <w:pStyle w:val="2"/>
        <w:ind w:firstLine="480"/>
      </w:pPr>
      <w:r>
        <w:rPr>
          <w:rFonts w:hint="eastAsia"/>
        </w:rPr>
        <w:t>3.2.7  定期对服务人员进行消防培训，保证消防通道畅通，每月对消防器材检查1次。</w:t>
      </w:r>
    </w:p>
    <w:p w14:paraId="254F03CF">
      <w:pPr>
        <w:pStyle w:val="2"/>
        <w:ind w:firstLine="480"/>
      </w:pPr>
      <w:r>
        <w:rPr>
          <w:rFonts w:hint="eastAsia"/>
        </w:rPr>
        <w:t>3.2.8  每半年进行1次消防应急演练；每季度轮流开展各类突发事件应急处理演练。</w:t>
      </w:r>
    </w:p>
    <w:p w14:paraId="2C5B1374">
      <w:pPr>
        <w:pStyle w:val="2"/>
        <w:ind w:firstLine="480"/>
      </w:pPr>
      <w:r>
        <w:rPr>
          <w:rFonts w:hint="eastAsia"/>
        </w:rPr>
        <w:t>4.运营管理服务</w:t>
      </w:r>
    </w:p>
    <w:p w14:paraId="07B40DF4">
      <w:pPr>
        <w:pStyle w:val="2"/>
        <w:ind w:firstLine="480"/>
        <w:rPr>
          <w:rFonts w:hint="eastAsia"/>
        </w:rPr>
      </w:pPr>
      <w:r>
        <w:rPr>
          <w:rFonts w:hint="eastAsia"/>
        </w:rPr>
        <w:t>4.1范围：</w:t>
      </w:r>
    </w:p>
    <w:p w14:paraId="0D0A37F9">
      <w:pPr>
        <w:pStyle w:val="2"/>
        <w:ind w:firstLine="480"/>
        <w:rPr>
          <w:rFonts w:hint="eastAsia"/>
        </w:rPr>
      </w:pPr>
      <w:r>
        <w:rPr>
          <w:rFonts w:hint="eastAsia"/>
        </w:rPr>
        <w:t>4.1.1、场馆运营管理</w:t>
      </w:r>
    </w:p>
    <w:p w14:paraId="5965EE10">
      <w:pPr>
        <w:pStyle w:val="2"/>
        <w:ind w:firstLine="480"/>
      </w:pPr>
      <w:r>
        <w:rPr>
          <w:rFonts w:hint="eastAsia"/>
        </w:rPr>
        <w:t>4.1.2、保洁服务：协助保洁人员</w:t>
      </w:r>
    </w:p>
    <w:p w14:paraId="2ACA9629">
      <w:pPr>
        <w:pStyle w:val="2"/>
        <w:ind w:firstLine="480"/>
      </w:pPr>
      <w:r>
        <w:rPr>
          <w:rFonts w:hint="eastAsia"/>
        </w:rPr>
        <w:t>4.1.3、资料档案管理。</w:t>
      </w:r>
    </w:p>
    <w:p w14:paraId="3947A28E">
      <w:pPr>
        <w:pStyle w:val="2"/>
        <w:ind w:firstLine="480"/>
      </w:pPr>
      <w:r>
        <w:rPr>
          <w:rFonts w:hint="eastAsia"/>
        </w:rPr>
        <w:t>4.1.4、临时活动协助。</w:t>
      </w:r>
    </w:p>
    <w:p w14:paraId="7E4908D0">
      <w:pPr>
        <w:pStyle w:val="2"/>
        <w:ind w:firstLine="480"/>
      </w:pPr>
      <w:r>
        <w:rPr>
          <w:rFonts w:hint="eastAsia"/>
        </w:rPr>
        <w:t>4.2、服务标准：</w:t>
      </w:r>
    </w:p>
    <w:p w14:paraId="78DE42B1">
      <w:pPr>
        <w:pStyle w:val="2"/>
        <w:ind w:firstLine="480"/>
        <w:rPr>
          <w:rFonts w:hint="eastAsia"/>
        </w:rPr>
      </w:pPr>
      <w:r>
        <w:rPr>
          <w:rFonts w:hint="eastAsia"/>
        </w:rPr>
        <w:t>4.2.1、负责场馆内的场地预定、收费、协助场馆人员组织赛事培训等活动以及大厅、男、女更衣室的管理等，同时服从临时指派的工作，</w:t>
      </w:r>
    </w:p>
    <w:p w14:paraId="7CF020A6">
      <w:pPr>
        <w:pStyle w:val="2"/>
        <w:ind w:firstLine="480"/>
        <w:rPr>
          <w:rStyle w:val="88"/>
          <w:rFonts w:hint="default"/>
          <w:color w:val="auto"/>
        </w:rPr>
      </w:pPr>
      <w:r>
        <w:rPr>
          <w:rFonts w:hint="eastAsia"/>
        </w:rPr>
        <w:t>4.2.2、</w:t>
      </w:r>
      <w:r>
        <w:rPr>
          <w:rFonts w:hint="eastAsia" w:ascii="宋体"/>
          <w:kern w:val="0"/>
        </w:rPr>
        <w:t>负责各个</w:t>
      </w:r>
      <w:r>
        <w:rPr>
          <w:rStyle w:val="88"/>
          <w:rFonts w:hint="default"/>
          <w:color w:val="auto"/>
        </w:rPr>
        <w:t>区域的巡回保洁及管辖区域的保洁保养及控烟管理</w:t>
      </w:r>
    </w:p>
    <w:p w14:paraId="4E9DF501">
      <w:pPr>
        <w:pStyle w:val="2"/>
        <w:ind w:firstLine="480"/>
        <w:rPr>
          <w:rFonts w:hint="eastAsia"/>
        </w:rPr>
      </w:pPr>
      <w:r>
        <w:rPr>
          <w:rFonts w:hint="eastAsia"/>
        </w:rPr>
        <w:t>4.2.3、各类档案建立齐全，档案资料完整。</w:t>
      </w:r>
    </w:p>
    <w:p w14:paraId="1F6E43C7">
      <w:pPr>
        <w:pStyle w:val="2"/>
        <w:ind w:firstLine="480"/>
      </w:pPr>
      <w:r>
        <w:rPr>
          <w:rFonts w:hint="eastAsia"/>
        </w:rPr>
        <w:t>4.2.4、各种接待活动配合及时，临时性活动协助支撑到位。</w:t>
      </w:r>
    </w:p>
    <w:p w14:paraId="788A587D">
      <w:pPr>
        <w:numPr>
          <w:ilvl w:val="0"/>
          <w:numId w:val="4"/>
        </w:numPr>
        <w:spacing w:line="520" w:lineRule="exact"/>
        <w:ind w:firstLine="448" w:firstLineChars="200"/>
        <w:rPr>
          <w:b/>
          <w:sz w:val="24"/>
          <w:szCs w:val="24"/>
        </w:rPr>
      </w:pPr>
      <w:r>
        <w:rPr>
          <w:rFonts w:hint="eastAsia"/>
          <w:b/>
          <w:sz w:val="24"/>
          <w:szCs w:val="24"/>
        </w:rPr>
        <w:t>应急服务</w:t>
      </w:r>
      <w:r>
        <w:rPr>
          <w:rFonts w:hint="eastAsia" w:ascii="宋体" w:hAnsi="宋体"/>
          <w:b/>
          <w:sz w:val="24"/>
          <w:szCs w:val="24"/>
        </w:rPr>
        <w:t>要求</w:t>
      </w:r>
    </w:p>
    <w:p w14:paraId="7CBD3799">
      <w:pPr>
        <w:spacing w:line="360" w:lineRule="auto"/>
        <w:ind w:firstLine="448" w:firstLineChars="200"/>
        <w:rPr>
          <w:sz w:val="24"/>
          <w:szCs w:val="24"/>
        </w:rPr>
      </w:pPr>
      <w:r>
        <w:rPr>
          <w:sz w:val="24"/>
          <w:szCs w:val="24"/>
        </w:rPr>
        <w:t>当</w:t>
      </w:r>
      <w:r>
        <w:rPr>
          <w:rFonts w:hint="eastAsia"/>
          <w:sz w:val="24"/>
          <w:szCs w:val="24"/>
        </w:rPr>
        <w:t>有重大活动或</w:t>
      </w:r>
      <w:r>
        <w:rPr>
          <w:sz w:val="24"/>
          <w:szCs w:val="24"/>
        </w:rPr>
        <w:t>出现紧急情况时</w:t>
      </w:r>
      <w:r>
        <w:rPr>
          <w:rFonts w:hint="eastAsia"/>
          <w:sz w:val="24"/>
          <w:szCs w:val="24"/>
        </w:rPr>
        <w:t>（例如停水停电、极端天气、群体事件、自然灾害等），供应商应</w:t>
      </w:r>
      <w:r>
        <w:rPr>
          <w:sz w:val="24"/>
          <w:szCs w:val="24"/>
        </w:rPr>
        <w:t>保证服务正常运转</w:t>
      </w:r>
      <w:r>
        <w:rPr>
          <w:rFonts w:hint="eastAsia"/>
          <w:sz w:val="24"/>
          <w:szCs w:val="24"/>
        </w:rPr>
        <w:t>，包括但不限于</w:t>
      </w:r>
      <w:r>
        <w:rPr>
          <w:sz w:val="24"/>
          <w:szCs w:val="24"/>
        </w:rPr>
        <w:t>临时增配人员</w:t>
      </w:r>
      <w:r>
        <w:rPr>
          <w:rFonts w:hint="eastAsia"/>
          <w:sz w:val="24"/>
          <w:szCs w:val="24"/>
        </w:rPr>
        <w:t>、临时调集设备、现有人员岗位职责临时增加、与相关政府部门协调配合等。</w:t>
      </w:r>
    </w:p>
    <w:p w14:paraId="0FB1AC0B">
      <w:pPr>
        <w:numPr>
          <w:ilvl w:val="0"/>
          <w:numId w:val="4"/>
        </w:numPr>
        <w:spacing w:line="520" w:lineRule="exact"/>
        <w:ind w:firstLine="448" w:firstLineChars="200"/>
        <w:rPr>
          <w:b/>
          <w:sz w:val="24"/>
          <w:szCs w:val="24"/>
        </w:rPr>
      </w:pPr>
      <w:r>
        <w:rPr>
          <w:rFonts w:hint="eastAsia"/>
          <w:b/>
          <w:sz w:val="24"/>
          <w:szCs w:val="24"/>
        </w:rPr>
        <w:t>人员保密</w:t>
      </w:r>
      <w:r>
        <w:rPr>
          <w:rFonts w:hint="eastAsia" w:ascii="宋体" w:hAnsi="宋体"/>
          <w:b/>
          <w:sz w:val="24"/>
          <w:szCs w:val="24"/>
        </w:rPr>
        <w:t>要求</w:t>
      </w:r>
    </w:p>
    <w:p w14:paraId="670F9320">
      <w:pPr>
        <w:numPr>
          <w:ilvl w:val="0"/>
          <w:numId w:val="5"/>
        </w:numPr>
        <w:spacing w:line="520" w:lineRule="exact"/>
        <w:ind w:firstLine="448" w:firstLineChars="200"/>
        <w:rPr>
          <w:rFonts w:ascii="宋体" w:hAnsi="宋体"/>
          <w:sz w:val="24"/>
          <w:szCs w:val="24"/>
        </w:rPr>
      </w:pPr>
      <w:r>
        <w:rPr>
          <w:rFonts w:hint="eastAsia" w:ascii="宋体" w:hAnsi="宋体"/>
          <w:sz w:val="24"/>
          <w:szCs w:val="24"/>
        </w:rPr>
        <w:t>上岗前的保密管理</w:t>
      </w:r>
    </w:p>
    <w:p w14:paraId="2F2AE0C7">
      <w:pPr>
        <w:spacing w:line="520" w:lineRule="exact"/>
        <w:ind w:left="97" w:leftChars="50" w:firstLine="448" w:firstLineChars="200"/>
        <w:rPr>
          <w:rFonts w:ascii="宋体" w:hAnsi="宋体"/>
          <w:sz w:val="24"/>
          <w:szCs w:val="24"/>
        </w:rPr>
      </w:pPr>
      <w:r>
        <w:rPr>
          <w:rFonts w:hint="eastAsia" w:ascii="宋体" w:hAnsi="宋体"/>
          <w:sz w:val="24"/>
          <w:szCs w:val="24"/>
        </w:rPr>
        <w:t>一是进行政治审查。物业公司录用工作人员前必须对所录用人员进行政治审查，主要包括：姓名、年龄、籍贯、家庭住址、本人简历、家庭主要成员基本情况、户口所在地公安派出所审查意见和乡（镇）或街道办事处审查意见。二是签订保密协议书。物业公司在人员上岗前，由物业公司组织所有录用人员签订保密协议书。三是上岗前保密培训。由物业公司组织负责对所有从业人员集中进行岗前保密培训。</w:t>
      </w:r>
    </w:p>
    <w:p w14:paraId="056BDD7A">
      <w:pPr>
        <w:numPr>
          <w:ilvl w:val="0"/>
          <w:numId w:val="5"/>
        </w:numPr>
        <w:spacing w:line="520" w:lineRule="exact"/>
        <w:ind w:firstLine="448" w:firstLineChars="200"/>
        <w:rPr>
          <w:rFonts w:ascii="宋体" w:hAnsi="宋体"/>
          <w:sz w:val="24"/>
          <w:szCs w:val="24"/>
        </w:rPr>
      </w:pPr>
      <w:r>
        <w:rPr>
          <w:rFonts w:hint="eastAsia" w:ascii="宋体" w:hAnsi="宋体"/>
          <w:sz w:val="24"/>
          <w:szCs w:val="24"/>
        </w:rPr>
        <w:t>在岗的保密管理</w:t>
      </w:r>
    </w:p>
    <w:p w14:paraId="445A6F28">
      <w:pPr>
        <w:spacing w:line="520" w:lineRule="exact"/>
        <w:ind w:left="97" w:leftChars="50" w:firstLine="448" w:firstLineChars="200"/>
        <w:rPr>
          <w:rFonts w:ascii="宋体" w:hAnsi="宋体"/>
          <w:sz w:val="24"/>
          <w:szCs w:val="24"/>
        </w:rPr>
      </w:pPr>
      <w:r>
        <w:rPr>
          <w:rFonts w:hint="eastAsia" w:ascii="宋体" w:hAnsi="宋体"/>
          <w:sz w:val="24"/>
          <w:szCs w:val="24"/>
        </w:rPr>
        <w:t>一是制定保密制度。物业公司必须针对重要服务岗位（保洁、秩序维护、工程），制定相应的保密工作制度，制度必须包括责任、义务和奖惩等方面。二是建立信息档案。物业公司应建立从业人员信息档案，对各类别人员分类管理。并在人员职位、岗位变动时，及时做好档案变更记录，三是开展保密教育。物业公司应每季度或半年对从业人员，特别是为重点部门服务的人员，进行保密宣传教育。</w:t>
      </w:r>
    </w:p>
    <w:p w14:paraId="4F17C26C">
      <w:pPr>
        <w:numPr>
          <w:ilvl w:val="0"/>
          <w:numId w:val="5"/>
        </w:numPr>
        <w:spacing w:line="520" w:lineRule="exact"/>
        <w:ind w:firstLine="448" w:firstLineChars="200"/>
        <w:rPr>
          <w:rFonts w:ascii="宋体" w:hAnsi="宋体"/>
          <w:sz w:val="24"/>
          <w:szCs w:val="24"/>
        </w:rPr>
      </w:pPr>
      <w:r>
        <w:rPr>
          <w:rFonts w:hint="eastAsia" w:ascii="宋体" w:hAnsi="宋体"/>
          <w:sz w:val="24"/>
          <w:szCs w:val="24"/>
        </w:rPr>
        <w:t>所有的物业员工由物业公司到公安局进行人员核查并确认无法罪记录。</w:t>
      </w:r>
    </w:p>
    <w:p w14:paraId="7444BA4F">
      <w:pPr>
        <w:numPr>
          <w:ilvl w:val="0"/>
          <w:numId w:val="4"/>
        </w:numPr>
        <w:spacing w:line="520" w:lineRule="exact"/>
        <w:ind w:firstLine="448" w:firstLineChars="200"/>
        <w:rPr>
          <w:rFonts w:hint="eastAsia" w:ascii="宋体" w:hAnsi="宋体"/>
          <w:b/>
          <w:sz w:val="24"/>
          <w:szCs w:val="24"/>
        </w:rPr>
      </w:pPr>
      <w:r>
        <w:rPr>
          <w:rFonts w:hint="eastAsia" w:ascii="宋体" w:hAnsi="宋体"/>
          <w:b/>
          <w:sz w:val="24"/>
          <w:szCs w:val="24"/>
        </w:rPr>
        <w:t>人员稳定性要求</w:t>
      </w:r>
    </w:p>
    <w:p w14:paraId="5D8CE712">
      <w:pPr>
        <w:spacing w:line="360" w:lineRule="auto"/>
        <w:ind w:firstLine="448" w:firstLineChars="200"/>
        <w:rPr>
          <w:rFonts w:hint="eastAsia"/>
          <w:sz w:val="24"/>
          <w:szCs w:val="24"/>
        </w:rPr>
      </w:pPr>
      <w:r>
        <w:rPr>
          <w:rFonts w:hint="eastAsia"/>
          <w:sz w:val="24"/>
          <w:szCs w:val="24"/>
        </w:rPr>
        <w:t>在整个服务期内，人员更换率不得超过</w:t>
      </w:r>
      <w:r>
        <w:rPr>
          <w:rFonts w:hint="eastAsia"/>
          <w:sz w:val="24"/>
          <w:szCs w:val="24"/>
          <w:u w:val="single"/>
        </w:rPr>
        <w:t>20</w:t>
      </w:r>
      <w:r>
        <w:rPr>
          <w:rFonts w:hint="eastAsia"/>
          <w:sz w:val="24"/>
          <w:szCs w:val="24"/>
        </w:rPr>
        <w:t>%，更换人员不得低于采购需求，更换项目经理前应经采购人同意。</w:t>
      </w:r>
    </w:p>
    <w:p w14:paraId="5123EEA4">
      <w:pPr>
        <w:numPr>
          <w:ilvl w:val="0"/>
          <w:numId w:val="4"/>
        </w:numPr>
        <w:spacing w:line="520" w:lineRule="exact"/>
        <w:ind w:firstLine="448" w:firstLineChars="200"/>
        <w:rPr>
          <w:rFonts w:hint="eastAsia" w:ascii="宋体" w:hAnsi="宋体"/>
          <w:b/>
          <w:sz w:val="24"/>
          <w:szCs w:val="24"/>
        </w:rPr>
      </w:pPr>
      <w:r>
        <w:rPr>
          <w:rFonts w:hint="eastAsia" w:ascii="宋体" w:hAnsi="宋体"/>
          <w:b/>
          <w:sz w:val="24"/>
          <w:szCs w:val="24"/>
        </w:rPr>
        <w:t>进驻和接管要求</w:t>
      </w:r>
    </w:p>
    <w:p w14:paraId="297C35B9">
      <w:pPr>
        <w:spacing w:line="360" w:lineRule="auto"/>
        <w:ind w:firstLine="448" w:firstLineChars="200"/>
        <w:rPr>
          <w:sz w:val="24"/>
          <w:szCs w:val="24"/>
        </w:rPr>
      </w:pPr>
      <w:r>
        <w:rPr>
          <w:rFonts w:hint="eastAsia"/>
          <w:sz w:val="24"/>
          <w:szCs w:val="24"/>
        </w:rPr>
        <w:t>中标（成交）后，及时配齐所需人员，在规定的时间内保证全体服务人员按时进场服务，对采购人工作无不良影响。</w:t>
      </w:r>
    </w:p>
    <w:p w14:paraId="48CC9047">
      <w:pPr>
        <w:numPr>
          <w:ilvl w:val="0"/>
          <w:numId w:val="4"/>
        </w:numPr>
        <w:spacing w:line="520" w:lineRule="exact"/>
        <w:ind w:firstLine="448" w:firstLineChars="200"/>
        <w:rPr>
          <w:rFonts w:hint="eastAsia" w:ascii="宋体" w:hAnsi="宋体"/>
          <w:b/>
          <w:color w:val="auto"/>
          <w:sz w:val="24"/>
          <w:szCs w:val="24"/>
        </w:rPr>
      </w:pPr>
      <w:r>
        <w:rPr>
          <w:rFonts w:hint="eastAsia" w:ascii="宋体" w:hAnsi="宋体"/>
          <w:b/>
          <w:color w:val="auto"/>
          <w:sz w:val="24"/>
          <w:szCs w:val="24"/>
        </w:rPr>
        <w:t>费用分割</w:t>
      </w:r>
    </w:p>
    <w:p w14:paraId="54108630">
      <w:pPr>
        <w:numPr>
          <w:ilvl w:val="0"/>
          <w:numId w:val="6"/>
        </w:numPr>
        <w:spacing w:line="360" w:lineRule="auto"/>
        <w:ind w:firstLine="448" w:firstLineChars="200"/>
        <w:rPr>
          <w:color w:val="auto"/>
          <w:sz w:val="24"/>
          <w:szCs w:val="24"/>
        </w:rPr>
      </w:pPr>
      <w:r>
        <w:rPr>
          <w:rFonts w:hint="eastAsia"/>
          <w:color w:val="auto"/>
          <w:sz w:val="24"/>
          <w:szCs w:val="24"/>
        </w:rPr>
        <w:t>以下费用由中标供应商提供</w:t>
      </w:r>
    </w:p>
    <w:p w14:paraId="7CEE84BF">
      <w:pPr>
        <w:pStyle w:val="2"/>
        <w:numPr>
          <w:ilvl w:val="0"/>
          <w:numId w:val="7"/>
        </w:numPr>
        <w:ind w:firstLine="480"/>
        <w:rPr>
          <w:rFonts w:hint="eastAsia"/>
          <w:color w:val="auto"/>
        </w:rPr>
      </w:pPr>
      <w:r>
        <w:rPr>
          <w:rFonts w:hint="eastAsia"/>
          <w:color w:val="auto"/>
        </w:rPr>
        <w:t>管理、服务人员的薪酬及服装。</w:t>
      </w:r>
    </w:p>
    <w:p w14:paraId="3013B3A8">
      <w:pPr>
        <w:pStyle w:val="2"/>
        <w:numPr>
          <w:ilvl w:val="0"/>
          <w:numId w:val="7"/>
        </w:numPr>
        <w:ind w:firstLine="480"/>
        <w:rPr>
          <w:rFonts w:hint="eastAsia"/>
          <w:color w:val="auto"/>
        </w:rPr>
      </w:pPr>
      <w:r>
        <w:rPr>
          <w:rFonts w:hint="eastAsia"/>
          <w:color w:val="auto"/>
        </w:rPr>
        <w:t>消防维保费、灭火器更换，预估6万/年，由中标供应商在报价中考虑。</w:t>
      </w:r>
    </w:p>
    <w:p w14:paraId="0BBEF581">
      <w:pPr>
        <w:pStyle w:val="2"/>
        <w:numPr>
          <w:ilvl w:val="0"/>
          <w:numId w:val="7"/>
        </w:numPr>
        <w:ind w:firstLine="480"/>
        <w:rPr>
          <w:rFonts w:hint="eastAsia"/>
          <w:color w:val="auto"/>
        </w:rPr>
      </w:pPr>
      <w:r>
        <w:rPr>
          <w:rFonts w:hint="eastAsia"/>
          <w:color w:val="auto"/>
        </w:rPr>
        <w:t>空调及电力维保费用，预估2万/年，由中标供应商在报价中考虑。</w:t>
      </w:r>
    </w:p>
    <w:p w14:paraId="6AEB742E">
      <w:pPr>
        <w:pStyle w:val="2"/>
        <w:numPr>
          <w:ilvl w:val="0"/>
          <w:numId w:val="7"/>
        </w:numPr>
        <w:ind w:firstLine="480"/>
        <w:rPr>
          <w:rFonts w:hint="eastAsia"/>
          <w:color w:val="auto"/>
        </w:rPr>
      </w:pPr>
      <w:r>
        <w:rPr>
          <w:rFonts w:hint="eastAsia"/>
          <w:color w:val="auto"/>
        </w:rPr>
        <w:t>电梯维保费，预估1.2万/年，由中标供应商在报价中考虑。</w:t>
      </w:r>
    </w:p>
    <w:p w14:paraId="350054B7">
      <w:pPr>
        <w:numPr>
          <w:ilvl w:val="0"/>
          <w:numId w:val="6"/>
        </w:numPr>
        <w:spacing w:line="360" w:lineRule="auto"/>
        <w:ind w:firstLine="448" w:firstLineChars="200"/>
        <w:rPr>
          <w:color w:val="auto"/>
          <w:sz w:val="24"/>
          <w:szCs w:val="24"/>
        </w:rPr>
      </w:pPr>
      <w:r>
        <w:rPr>
          <w:rFonts w:hint="eastAsia"/>
          <w:color w:val="auto"/>
          <w:sz w:val="24"/>
          <w:szCs w:val="24"/>
        </w:rPr>
        <w:t>以下费用由采购人提供</w:t>
      </w:r>
    </w:p>
    <w:p w14:paraId="3F9F920B">
      <w:pPr>
        <w:pStyle w:val="2"/>
        <w:numPr>
          <w:ilvl w:val="0"/>
          <w:numId w:val="8"/>
        </w:numPr>
        <w:ind w:firstLine="480"/>
        <w:rPr>
          <w:rFonts w:hint="eastAsia"/>
          <w:color w:val="auto"/>
        </w:rPr>
      </w:pPr>
      <w:r>
        <w:rPr>
          <w:rFonts w:hint="eastAsia"/>
          <w:color w:val="auto"/>
        </w:rPr>
        <w:t>设施设备运行能耗（水、电、）费用；</w:t>
      </w:r>
    </w:p>
    <w:p w14:paraId="5509D866">
      <w:pPr>
        <w:pStyle w:val="2"/>
        <w:numPr>
          <w:ilvl w:val="0"/>
          <w:numId w:val="8"/>
        </w:numPr>
        <w:ind w:firstLine="480"/>
        <w:rPr>
          <w:rFonts w:hint="eastAsia"/>
        </w:rPr>
      </w:pPr>
      <w:r>
        <w:rPr>
          <w:rFonts w:hint="eastAsia"/>
        </w:rPr>
        <w:t>设施设备维修改造费用；</w:t>
      </w:r>
    </w:p>
    <w:p w14:paraId="5B4A42A3">
      <w:pPr>
        <w:pStyle w:val="2"/>
        <w:numPr>
          <w:ilvl w:val="0"/>
          <w:numId w:val="8"/>
        </w:numPr>
        <w:ind w:firstLine="480"/>
        <w:rPr>
          <w:rFonts w:hint="eastAsia"/>
        </w:rPr>
      </w:pPr>
      <w:r>
        <w:rPr>
          <w:rFonts w:hint="eastAsia"/>
        </w:rPr>
        <w:t>消防维保、电梯维保、电力维保、灭火器更换之外的设施设备维护检测费用。</w:t>
      </w:r>
    </w:p>
    <w:p w14:paraId="342C4C82">
      <w:pPr>
        <w:numPr>
          <w:ilvl w:val="0"/>
          <w:numId w:val="4"/>
        </w:numPr>
        <w:spacing w:line="520" w:lineRule="exact"/>
        <w:ind w:firstLine="448" w:firstLineChars="200"/>
        <w:rPr>
          <w:rFonts w:hint="eastAsia" w:ascii="宋体" w:hAnsi="宋体"/>
          <w:b/>
          <w:sz w:val="24"/>
          <w:szCs w:val="24"/>
        </w:rPr>
      </w:pPr>
      <w:r>
        <w:rPr>
          <w:rFonts w:hint="eastAsia" w:ascii="宋体" w:hAnsi="宋体"/>
          <w:b/>
          <w:sz w:val="24"/>
          <w:szCs w:val="24"/>
        </w:rPr>
        <w:t>服务过程中，对中标供应商评价考核验收标准</w:t>
      </w:r>
    </w:p>
    <w:p w14:paraId="03287AEE">
      <w:pPr>
        <w:spacing w:line="360" w:lineRule="auto"/>
        <w:ind w:firstLine="448" w:firstLineChars="200"/>
        <w:rPr>
          <w:rFonts w:hint="eastAsia"/>
          <w:sz w:val="28"/>
          <w:szCs w:val="28"/>
        </w:rPr>
      </w:pPr>
      <w:r>
        <w:rPr>
          <w:rFonts w:hint="eastAsia"/>
          <w:bCs/>
          <w:sz w:val="24"/>
          <w:szCs w:val="24"/>
        </w:rPr>
        <w:t>采购人每年对供货商进行考核评价及验收，考核结果分为满意和不满意，考核满意的经双方协商同意可以续签服务协议，考核不满意的不再续签。</w:t>
      </w:r>
    </w:p>
    <w:p w14:paraId="6598AC5A">
      <w:pPr>
        <w:pStyle w:val="2"/>
        <w:ind w:firstLine="480"/>
        <w:rPr>
          <w:rFonts w:hint="eastAsia"/>
        </w:rPr>
      </w:pPr>
    </w:p>
    <w:p w14:paraId="3DD61B21">
      <w:pPr>
        <w:pStyle w:val="2"/>
        <w:ind w:firstLine="480"/>
        <w:rPr>
          <w:rFonts w:hint="eastAsia"/>
        </w:rPr>
      </w:pPr>
    </w:p>
    <w:p w14:paraId="08C4A4E3">
      <w:pPr>
        <w:widowControl/>
        <w:ind w:firstLine="448" w:firstLineChars="200"/>
        <w:jc w:val="left"/>
        <w:rPr>
          <w:rFonts w:hint="eastAsia" w:eastAsia="宋体"/>
          <w:sz w:val="24"/>
          <w:highlight w:val="yellow"/>
          <w:lang w:eastAsia="zh-CN"/>
        </w:rPr>
      </w:pPr>
    </w:p>
    <w:p w14:paraId="24FD91EC">
      <w:pPr>
        <w:widowControl/>
        <w:jc w:val="left"/>
        <w:rPr>
          <w:rFonts w:hAnsiTheme="minorEastAsia"/>
          <w:b/>
          <w:bCs/>
          <w:kern w:val="28"/>
          <w:sz w:val="32"/>
          <w:szCs w:val="32"/>
        </w:rPr>
      </w:pPr>
      <w:r>
        <w:rPr>
          <w:rFonts w:hAnsiTheme="minorEastAsia"/>
          <w:b/>
          <w:bCs/>
          <w:kern w:val="28"/>
          <w:sz w:val="32"/>
          <w:szCs w:val="32"/>
        </w:rPr>
        <w:br w:type="page"/>
      </w:r>
    </w:p>
    <w:p w14:paraId="4A5BDA58">
      <w:pPr>
        <w:pStyle w:val="16"/>
        <w:rPr>
          <w:rFonts w:ascii="Times New Roman" w:hAnsi="Times New Roman"/>
        </w:rPr>
      </w:pPr>
      <w:r>
        <w:rPr>
          <w:rFonts w:ascii="Times New Roman" w:hAnsiTheme="minorEastAsia"/>
        </w:rPr>
        <w:t>第三部分投标须知</w:t>
      </w:r>
    </w:p>
    <w:p w14:paraId="710B8F80">
      <w:pPr>
        <w:pStyle w:val="32"/>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 xml:space="preserve">A  </w:t>
      </w:r>
      <w:r>
        <w:rPr>
          <w:rFonts w:ascii="Times New Roman" w:eastAsia="宋体" w:cs="Times New Roman" w:hAnsiTheme="minorEastAsia"/>
          <w:color w:val="auto"/>
        </w:rPr>
        <w:t>说明</w:t>
      </w:r>
    </w:p>
    <w:p w14:paraId="467E12A0">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 </w:t>
      </w:r>
      <w:r>
        <w:rPr>
          <w:rFonts w:ascii="Times New Roman" w:eastAsia="宋体" w:cs="Times New Roman" w:hAnsiTheme="minorEastAsia"/>
          <w:color w:val="auto"/>
        </w:rPr>
        <w:t>概述</w:t>
      </w:r>
    </w:p>
    <w:p w14:paraId="1AE27318">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1.1 </w:t>
      </w:r>
      <w:r>
        <w:rPr>
          <w:rFonts w:ascii="Times New Roman" w:eastAsia="宋体" w:cs="Times New Roman" w:hAnsiTheme="minorEastAsia"/>
          <w:color w:val="auto"/>
        </w:rPr>
        <w:t>根据《中华人民共和国政府采购法》、《中华人民共和国政府采购法实施条例》《中华人民共和国招标投标法》等有关法律、法规和规章的规定，本采购项目已具备招标条件。</w:t>
      </w:r>
    </w:p>
    <w:p w14:paraId="37264A65">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eastAsia="宋体" w:cs="Times New Roman" w:hAnsiTheme="minorEastAsia"/>
          <w:color w:val="auto"/>
        </w:rPr>
        <w:t>本招标文件仅适用于投标邀请函中所叙述项目货物和服务的采购。</w:t>
      </w:r>
    </w:p>
    <w:p w14:paraId="46E38003">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1.3 </w:t>
      </w:r>
      <w:r>
        <w:rPr>
          <w:rFonts w:ascii="Times New Roman" w:eastAsia="宋体" w:cs="Times New Roman" w:hAnsiTheme="minorEastAsia"/>
          <w:color w:val="auto"/>
        </w:rPr>
        <w:t>参与招标投标活动的所有各方，对在参与招标投标过程中获悉的国家、商业和技术秘密以及其它依法应当保密的内容，均负有保密义务，违者应对由此造成的后果承担全部法律责任。</w:t>
      </w:r>
    </w:p>
    <w:p w14:paraId="019B524B">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 </w:t>
      </w:r>
      <w:r>
        <w:rPr>
          <w:rFonts w:ascii="Times New Roman" w:eastAsia="宋体" w:cs="Times New Roman" w:hAnsiTheme="minorEastAsia"/>
          <w:color w:val="auto"/>
        </w:rPr>
        <w:t>定义</w:t>
      </w:r>
    </w:p>
    <w:p w14:paraId="541A1020">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w:t>
      </w:r>
      <w:r>
        <w:rPr>
          <w:rFonts w:ascii="Times New Roman" w:eastAsia="宋体" w:cs="Times New Roman" w:hAnsiTheme="minorEastAsia"/>
          <w:color w:val="auto"/>
        </w:rPr>
        <w:t>采购人</w:t>
      </w:r>
      <w:r>
        <w:rPr>
          <w:rFonts w:ascii="Times New Roman" w:hAnsi="Times New Roman" w:eastAsia="宋体" w:cs="Times New Roman"/>
          <w:color w:val="auto"/>
        </w:rPr>
        <w:t>”</w:t>
      </w:r>
      <w:r>
        <w:rPr>
          <w:rFonts w:ascii="Times New Roman" w:eastAsia="宋体" w:cs="Times New Roman" w:hAnsiTheme="minorEastAsia"/>
          <w:color w:val="auto"/>
        </w:rPr>
        <w:t>和</w:t>
      </w:r>
      <w:r>
        <w:rPr>
          <w:rFonts w:ascii="Times New Roman" w:hAnsi="Times New Roman" w:eastAsia="宋体" w:cs="Times New Roman"/>
          <w:color w:val="auto"/>
        </w:rPr>
        <w:t>“</w:t>
      </w:r>
      <w:r>
        <w:rPr>
          <w:rFonts w:ascii="Times New Roman" w:eastAsia="宋体" w:cs="Times New Roman" w:hAnsiTheme="minorEastAsia"/>
          <w:color w:val="auto"/>
        </w:rPr>
        <w:t>招标人</w:t>
      </w:r>
      <w:r>
        <w:rPr>
          <w:rFonts w:ascii="Times New Roman" w:hAnsi="Times New Roman" w:eastAsia="宋体" w:cs="Times New Roman"/>
          <w:color w:val="auto"/>
        </w:rPr>
        <w:t>”</w:t>
      </w:r>
      <w:r>
        <w:rPr>
          <w:rFonts w:ascii="Times New Roman" w:eastAsia="宋体" w:cs="Times New Roman" w:hAnsiTheme="minorEastAsia"/>
          <w:color w:val="auto"/>
        </w:rPr>
        <w:t>系指本次招标活动的采购单位。</w:t>
      </w:r>
      <w:r>
        <w:rPr>
          <w:rFonts w:ascii="Times New Roman" w:hAnsi="Times New Roman" w:eastAsia="宋体" w:cs="Times New Roman"/>
          <w:color w:val="auto"/>
        </w:rPr>
        <w:t>“</w:t>
      </w:r>
      <w:r>
        <w:rPr>
          <w:rFonts w:ascii="Times New Roman" w:eastAsia="宋体" w:cs="Times New Roman" w:hAnsiTheme="minorEastAsia"/>
          <w:color w:val="auto"/>
        </w:rPr>
        <w:t>采购代理机构</w:t>
      </w:r>
      <w:r>
        <w:rPr>
          <w:rFonts w:ascii="Times New Roman" w:hAnsi="Times New Roman" w:eastAsia="宋体" w:cs="Times New Roman"/>
          <w:color w:val="auto"/>
        </w:rPr>
        <w:t>”</w:t>
      </w:r>
      <w:r>
        <w:rPr>
          <w:rFonts w:ascii="Times New Roman" w:eastAsia="宋体" w:cs="Times New Roman" w:hAnsiTheme="minorEastAsia"/>
          <w:color w:val="auto"/>
        </w:rPr>
        <w:t>系指组织本次招标活动的机构，即</w:t>
      </w:r>
      <w:r>
        <w:rPr>
          <w:rFonts w:ascii="Times New Roman" w:hAnsi="Times New Roman" w:eastAsia="宋体" w:cs="Times New Roman"/>
          <w:color w:val="auto"/>
        </w:rPr>
        <w:t>“</w:t>
      </w:r>
      <w:r>
        <w:rPr>
          <w:rFonts w:ascii="Times New Roman" w:eastAsia="宋体" w:cs="Times New Roman" w:hAnsiTheme="minorEastAsia"/>
          <w:color w:val="auto"/>
        </w:rPr>
        <w:t>天津市滨海新区政府采购中心</w:t>
      </w:r>
      <w:r>
        <w:rPr>
          <w:rFonts w:ascii="Times New Roman" w:hAnsi="Times New Roman" w:eastAsia="宋体" w:cs="Times New Roman"/>
          <w:color w:val="auto"/>
        </w:rPr>
        <w:t>”</w:t>
      </w:r>
      <w:r>
        <w:rPr>
          <w:rFonts w:ascii="Times New Roman" w:eastAsia="宋体" w:cs="Times New Roman" w:hAnsiTheme="minorEastAsia"/>
          <w:color w:val="auto"/>
        </w:rPr>
        <w:t>。</w:t>
      </w:r>
    </w:p>
    <w:p w14:paraId="488036E4">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w:t>
      </w:r>
      <w:r>
        <w:rPr>
          <w:rFonts w:ascii="Times New Roman" w:eastAsia="宋体" w:cs="Times New Roman" w:hAnsiTheme="minorEastAsia"/>
          <w:color w:val="auto"/>
        </w:rPr>
        <w:t>投标人</w:t>
      </w:r>
      <w:r>
        <w:rPr>
          <w:rFonts w:ascii="Times New Roman" w:hAnsi="Times New Roman" w:eastAsia="宋体" w:cs="Times New Roman"/>
          <w:color w:val="auto"/>
        </w:rPr>
        <w:t>”</w:t>
      </w:r>
      <w:r>
        <w:rPr>
          <w:rFonts w:ascii="Times New Roman" w:eastAsia="宋体" w:cs="Times New Roman" w:hAnsiTheme="minorEastAsia"/>
          <w:color w:val="auto"/>
        </w:rPr>
        <w:t>系指</w:t>
      </w:r>
      <w:r>
        <w:rPr>
          <w:rFonts w:hint="eastAsia" w:ascii="Times New Roman" w:eastAsia="宋体" w:cs="Times New Roman" w:hAnsiTheme="minorEastAsia"/>
          <w:color w:val="auto"/>
        </w:rPr>
        <w:t>响应招标、参加投标竞争的法人、其他组织或者自然人。</w:t>
      </w:r>
    </w:p>
    <w:p w14:paraId="6D1D0BB9">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w:t>
      </w:r>
      <w:r>
        <w:rPr>
          <w:rFonts w:ascii="Times New Roman" w:eastAsia="宋体" w:cs="Times New Roman" w:hAnsiTheme="minorEastAsia"/>
          <w:color w:val="auto"/>
        </w:rPr>
        <w:t>服务</w:t>
      </w:r>
      <w:r>
        <w:rPr>
          <w:rFonts w:ascii="Times New Roman" w:hAnsi="Times New Roman" w:eastAsia="宋体" w:cs="Times New Roman"/>
          <w:color w:val="auto"/>
        </w:rPr>
        <w:t>”</w:t>
      </w:r>
      <w:r>
        <w:rPr>
          <w:rFonts w:ascii="Times New Roman" w:eastAsia="宋体" w:cs="Times New Roman" w:hAnsiTheme="minorEastAsia"/>
          <w:color w:val="auto"/>
          <w:szCs w:val="21"/>
        </w:rPr>
        <w:t>系指招标文件规定的投标人为完成采购项目所需承担的全部义务。</w:t>
      </w:r>
    </w:p>
    <w:p w14:paraId="31ACCFAC">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 </w:t>
      </w:r>
      <w:r>
        <w:rPr>
          <w:rFonts w:ascii="Times New Roman" w:eastAsia="宋体" w:cs="Times New Roman" w:hAnsiTheme="minorEastAsia"/>
          <w:color w:val="auto"/>
        </w:rPr>
        <w:t>解释权</w:t>
      </w:r>
    </w:p>
    <w:p w14:paraId="28E146C5">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3.1 </w:t>
      </w:r>
      <w:r>
        <w:rPr>
          <w:rFonts w:ascii="Times New Roman" w:eastAsia="宋体" w:cs="Times New Roman" w:hAnsiTheme="minorEastAsia"/>
          <w:color w:val="auto"/>
        </w:rPr>
        <w:t>本次招投标的最终解释权归为采购人、采购代理机构。</w:t>
      </w:r>
    </w:p>
    <w:p w14:paraId="6B8BBDF3">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3.2 </w:t>
      </w:r>
      <w:r>
        <w:rPr>
          <w:rFonts w:ascii="Times New Roman" w:eastAsia="宋体" w:cs="Times New Roman" w:hAnsiTheme="minorEastAsia"/>
          <w:color w:val="auto"/>
        </w:rPr>
        <w:t>本文件未作须知明示，而又有相关法律、法规规定的，采购人、采购代理机构将对此解释为依据有关法律、法规的规定。</w:t>
      </w:r>
    </w:p>
    <w:p w14:paraId="7830C60B">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4. </w:t>
      </w:r>
      <w:r>
        <w:rPr>
          <w:rFonts w:ascii="Times New Roman" w:eastAsia="宋体" w:cs="Times New Roman" w:hAnsiTheme="minorEastAsia"/>
          <w:color w:val="auto"/>
        </w:rPr>
        <w:t>合格的投标人</w:t>
      </w:r>
    </w:p>
    <w:p w14:paraId="14D30F94">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4.1 </w:t>
      </w:r>
      <w:r>
        <w:rPr>
          <w:rFonts w:ascii="Times New Roman" w:eastAsia="宋体" w:cs="Times New Roman" w:hAnsiTheme="minorEastAsia"/>
          <w:color w:val="auto"/>
        </w:rPr>
        <w:t>符合《中华人民共和国政府采购法》第二十二条供应商参加政府采购活动应当具备的条件及其他有关法律、法规关于供应商的有关规定，有能力提供招标采购服务的供应商。</w:t>
      </w:r>
    </w:p>
    <w:p w14:paraId="6D98F4A6">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4.2 </w:t>
      </w:r>
      <w:r>
        <w:rPr>
          <w:rFonts w:ascii="Times New Roman" w:eastAsia="宋体" w:cs="Times New Roman" w:hAnsiTheme="minorEastAsia"/>
          <w:color w:val="auto"/>
        </w:rPr>
        <w:t>符合《投标邀请函》中关于供应商资格要求（实质性要求）的规定。</w:t>
      </w:r>
    </w:p>
    <w:p w14:paraId="42C57E1E">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 xml:space="preserve">4.3 </w:t>
      </w:r>
      <w:r>
        <w:rPr>
          <w:rFonts w:ascii="Times New Roman" w:eastAsia="宋体" w:cs="Times New Roman" w:hAnsiTheme="minorEastAsia"/>
          <w:color w:val="auto"/>
        </w:rPr>
        <w:t>关于联合体投标</w:t>
      </w:r>
    </w:p>
    <w:p w14:paraId="6FB79334">
      <w:pPr>
        <w:pStyle w:val="32"/>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若</w:t>
      </w:r>
      <w:r>
        <w:rPr>
          <w:rFonts w:ascii="Times New Roman" w:eastAsia="宋体" w:cs="Times New Roman" w:hAnsiTheme="minorEastAsia"/>
          <w:color w:val="auto"/>
        </w:rPr>
        <w:t>《投标邀请函》接受联合体投标的：</w:t>
      </w:r>
    </w:p>
    <w:p w14:paraId="5A2016A4">
      <w:pPr>
        <w:pStyle w:val="32"/>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1</w:t>
      </w:r>
      <w:r>
        <w:rPr>
          <w:rFonts w:ascii="Times New Roman" w:eastAsia="宋体" w:cs="Times New Roman" w:hAnsiTheme="minorEastAsia"/>
          <w:color w:val="auto"/>
        </w:rPr>
        <w:t>）两个以上的自然人、法人或者其他组织可以组成一个联合体，以一个供应商的身份共同参加政府采购。</w:t>
      </w:r>
    </w:p>
    <w:p w14:paraId="5D18662E">
      <w:pPr>
        <w:pStyle w:val="32"/>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2</w:t>
      </w:r>
      <w:r>
        <w:rPr>
          <w:rFonts w:ascii="Times New Roman" w:eastAsia="宋体" w:cs="Times New Roman" w:hAnsiTheme="minor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eastAsia="宋体" w:cs="Times New Roman" w:hAnsiTheme="minorEastAsia"/>
          <w:color w:val="auto"/>
        </w:rPr>
        <w:t>要求</w:t>
      </w:r>
      <w:r>
        <w:rPr>
          <w:rFonts w:ascii="Times New Roman" w:eastAsia="宋体" w:cs="Times New Roman" w:hAnsiTheme="minorEastAsia"/>
          <w:color w:val="auto"/>
        </w:rPr>
        <w:t>）。</w:t>
      </w:r>
    </w:p>
    <w:p w14:paraId="0BA588E3">
      <w:pPr>
        <w:pStyle w:val="32"/>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3</w:t>
      </w:r>
      <w:r>
        <w:rPr>
          <w:rFonts w:ascii="Times New Roman" w:eastAsia="宋体" w:cs="Times New Roman" w:hAnsiTheme="minorEastAsia"/>
          <w:color w:val="auto"/>
        </w:rPr>
        <w:t>）联合体各方之间应当签订共同投标协议并在投标文件内提交，明确约定联合体主体及联合体各方承担的工作和相应的责任。</w:t>
      </w:r>
      <w:r>
        <w:rPr>
          <w:rFonts w:hint="eastAsia" w:ascii="Times New Roman" w:hAnsi="Times New Roman" w:eastAsia="宋体" w:cs="Times New Roman"/>
          <w:color w:val="auto"/>
        </w:rPr>
        <w:t>联合体各方签订共同投标协议后，</w:t>
      </w:r>
      <w:r>
        <w:rPr>
          <w:rFonts w:ascii="Times New Roman" w:hAnsi="Times New Roman" w:eastAsia="宋体" w:cs="Times New Roman"/>
          <w:color w:val="auto"/>
        </w:rPr>
        <w:t>不得再以自己名义单独在</w:t>
      </w:r>
      <w:r>
        <w:rPr>
          <w:rFonts w:hint="eastAsia" w:ascii="Times New Roman" w:hAnsi="Times New Roman" w:eastAsia="宋体" w:cs="Times New Roman"/>
          <w:color w:val="auto"/>
        </w:rPr>
        <w:t>同一合同项下</w:t>
      </w:r>
      <w:r>
        <w:rPr>
          <w:rFonts w:ascii="Times New Roman" w:hAnsi="Times New Roman" w:eastAsia="宋体" w:cs="Times New Roman"/>
          <w:color w:val="auto"/>
        </w:rPr>
        <w:t>投标，也不得组成新的联合体参加同一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w:t>
      </w:r>
    </w:p>
    <w:p w14:paraId="366B4B02">
      <w:pPr>
        <w:pStyle w:val="32"/>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4</w:t>
      </w:r>
      <w:r>
        <w:rPr>
          <w:rFonts w:ascii="Times New Roman" w:eastAsia="宋体" w:cs="Times New Roman" w:hAnsiTheme="minorEastAsia"/>
          <w:color w:val="auto"/>
        </w:rPr>
        <w:t>）</w:t>
      </w:r>
      <w:r>
        <w:rPr>
          <w:rFonts w:hint="eastAsia" w:ascii="Times New Roman" w:eastAsia="宋体" w:hAnsiTheme="minorEastAsia"/>
          <w:color w:val="auto"/>
        </w:rPr>
        <w:t>下载招标文件</w:t>
      </w:r>
      <w:r>
        <w:rPr>
          <w:rFonts w:ascii="Times New Roman" w:eastAsia="宋体" w:hAnsiTheme="minorEastAsia"/>
          <w:color w:val="auto"/>
        </w:rPr>
        <w:t>时，应以联合体协议中确定的主体方名义</w:t>
      </w:r>
      <w:r>
        <w:rPr>
          <w:rFonts w:hint="eastAsia" w:ascii="Times New Roman" w:eastAsia="宋体" w:hAnsiTheme="minorEastAsia"/>
          <w:color w:val="auto"/>
        </w:rPr>
        <w:t>下载</w:t>
      </w:r>
      <w:r>
        <w:rPr>
          <w:rFonts w:ascii="Times New Roman" w:eastAsia="宋体" w:hAnsiTheme="minorEastAsia"/>
          <w:color w:val="auto"/>
        </w:rPr>
        <w:t>。</w:t>
      </w:r>
    </w:p>
    <w:p w14:paraId="234E91F7">
      <w:pPr>
        <w:pStyle w:val="32"/>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5</w:t>
      </w:r>
      <w:r>
        <w:rPr>
          <w:rFonts w:ascii="Times New Roman" w:eastAsia="宋体" w:cs="Times New Roman" w:hAnsiTheme="minorEastAsia"/>
          <w:color w:val="auto"/>
        </w:rPr>
        <w:t>）联合体投标的，应以主体方名义提交投标保证金（如有），对联合体各方均具有约束力。</w:t>
      </w:r>
    </w:p>
    <w:p w14:paraId="64BCBC1E">
      <w:pPr>
        <w:pStyle w:val="32"/>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6</w:t>
      </w:r>
      <w:r>
        <w:rPr>
          <w:rFonts w:ascii="Times New Roman" w:eastAsia="宋体" w:cs="Times New Roman" w:hAnsiTheme="minor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35E04879">
      <w:pPr>
        <w:pStyle w:val="32"/>
        <w:spacing w:line="360" w:lineRule="auto"/>
        <w:ind w:firstLine="448" w:firstLineChars="200"/>
        <w:rPr>
          <w:rFonts w:ascii="Times New Roman" w:eastAsia="宋体" w:cs="Times New Roman" w:hAnsiTheme="minorEastAsia"/>
          <w:color w:val="auto"/>
        </w:rPr>
      </w:pPr>
      <w:r>
        <w:rPr>
          <w:rFonts w:hint="eastAsia" w:ascii="Times New Roman" w:eastAsia="宋体" w:cs="Times New Roman" w:hAnsiTheme="minorEastAsia"/>
          <w:color w:val="auto"/>
        </w:rPr>
        <w:t>（7）联合体中任意一方为中小企业的，该方应提供《中小企业声明函》。</w:t>
      </w:r>
    </w:p>
    <w:p w14:paraId="1442D08D">
      <w:pPr>
        <w:pStyle w:val="32"/>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8</w:t>
      </w:r>
      <w:r>
        <w:rPr>
          <w:rFonts w:ascii="Times New Roman" w:eastAsia="宋体" w:cs="Times New Roman" w:hAnsiTheme="minorEastAsia"/>
          <w:color w:val="auto"/>
        </w:rPr>
        <w:t>）联合体各方应当共同与采购人签订采购合同，就采购合同约定的事项对采购人承担连带责任。</w:t>
      </w:r>
    </w:p>
    <w:p w14:paraId="158C1655">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 xml:space="preserve">4.4 </w:t>
      </w:r>
      <w:r>
        <w:rPr>
          <w:rFonts w:ascii="Times New Roman" w:eastAsia="宋体" w:cs="Times New Roman" w:hAnsiTheme="minorEastAsia"/>
          <w:color w:val="auto"/>
        </w:rPr>
        <w:t>关于关联企业</w:t>
      </w:r>
    </w:p>
    <w:p w14:paraId="645EB9E4">
      <w:pPr>
        <w:pStyle w:val="32"/>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除联合体外，法定代表人或单位负责人为同一个人或者存在直接控股、管理关系的不同供应商，不得同时参加同一项目或同一子项目的投标。如同时参加，则评审时将同时被拒绝。</w:t>
      </w:r>
    </w:p>
    <w:p w14:paraId="2836A5D3">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4.5 </w:t>
      </w:r>
      <w:r>
        <w:rPr>
          <w:rFonts w:hint="eastAsia" w:ascii="Times New Roman" w:eastAsia="宋体" w:cs="Times New Roman" w:hAnsiTheme="minorEastAsia"/>
          <w:color w:val="auto"/>
        </w:rPr>
        <w:t>关于分公司投标</w:t>
      </w:r>
    </w:p>
    <w:p w14:paraId="7C29A644">
      <w:pPr>
        <w:pStyle w:val="32"/>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根据国务院《</w:t>
      </w:r>
      <w:bookmarkStart w:id="4" w:name="OLE_LINK5"/>
      <w:bookmarkStart w:id="5" w:name="OLE_LINK6"/>
      <w:r>
        <w:rPr>
          <w:rFonts w:hint="eastAsia" w:ascii="Times New Roman" w:eastAsia="宋体" w:cs="Times New Roman" w:hAnsiTheme="minorEastAsia"/>
          <w:color w:val="auto"/>
        </w:rPr>
        <w:t>物业管理条例</w:t>
      </w:r>
      <w:bookmarkEnd w:id="4"/>
      <w:bookmarkEnd w:id="5"/>
      <w:r>
        <w:rPr>
          <w:rFonts w:hint="eastAsia" w:ascii="Times New Roman" w:eastAsia="宋体" w:cs="Times New Roman" w:hAnsiTheme="minorEastAsia"/>
          <w:color w:val="auto"/>
        </w:rPr>
        <w:t>》第三十二条的规定</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从事物业管理活动的企业应当具有独立的法人资格</w:t>
      </w:r>
      <w:r>
        <w:rPr>
          <w:rFonts w:hint="eastAsia" w:ascii="Times New Roman" w:hAnsi="Times New Roman" w:eastAsia="宋体" w:cs="Times New Roman"/>
          <w:color w:val="auto"/>
        </w:rPr>
        <w:t>”</w:t>
      </w:r>
      <w:r>
        <w:rPr>
          <w:rFonts w:hint="eastAsia" w:ascii="Times New Roman" w:eastAsia="宋体" w:cs="Times New Roman" w:hAnsiTheme="minorEastAsia"/>
          <w:color w:val="auto"/>
        </w:rPr>
        <w:t>，因此本项目不接受分公司投标。</w:t>
      </w:r>
    </w:p>
    <w:p w14:paraId="61718A5D">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4.6 </w:t>
      </w:r>
      <w:r>
        <w:rPr>
          <w:rFonts w:hint="eastAsia" w:ascii="Times New Roman" w:eastAsia="宋体" w:cs="Times New Roman" w:hAnsiTheme="minorEastAsia"/>
          <w:color w:val="auto"/>
        </w:rPr>
        <w:t>关于提供前期服务的供应商</w:t>
      </w:r>
    </w:p>
    <w:p w14:paraId="0E7D8AAF">
      <w:pPr>
        <w:pStyle w:val="32"/>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为采购项目提供整体设计、规范编制或者项目管理、监理、检测等服务的供应商，不得再参加该采购项目的其他采购活动。</w:t>
      </w:r>
    </w:p>
    <w:p w14:paraId="02008E6F">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7</w:t>
      </w:r>
      <w:r>
        <w:rPr>
          <w:rFonts w:ascii="Times New Roman" w:hAnsi="Times New Roman" w:eastAsia="宋体" w:cs="Times New Roman"/>
          <w:color w:val="auto"/>
        </w:rPr>
        <w:t xml:space="preserve"> </w:t>
      </w:r>
      <w:r>
        <w:rPr>
          <w:rFonts w:ascii="Times New Roman" w:eastAsia="宋体" w:cs="Times New Roman" w:hAnsiTheme="minorEastAsia"/>
          <w:color w:val="auto"/>
        </w:rPr>
        <w:t>关于中小微企业投标</w:t>
      </w:r>
    </w:p>
    <w:p w14:paraId="293CF111">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w:t>
      </w:r>
      <w:r>
        <w:rPr>
          <w:rFonts w:ascii="Times New Roman" w:hAnsi="Times New Roman" w:eastAsia="宋体" w:cs="Times New Roman"/>
          <w:color w:val="auto"/>
        </w:rPr>
        <w:t>[2020]46</w:t>
      </w:r>
      <w:r>
        <w:rPr>
          <w:rFonts w:hint="eastAsia" w:ascii="Times New Roman" w:hAnsi="Times New Roman" w:eastAsia="宋体" w:cs="Times New Roman"/>
          <w:color w:val="auto"/>
        </w:rPr>
        <w:t>号）规定的供应商。中小微企业参与投标应提供《中小企业声明函》。</w:t>
      </w:r>
    </w:p>
    <w:p w14:paraId="7D656EA3">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根据财库〔</w:t>
      </w:r>
      <w:r>
        <w:rPr>
          <w:rFonts w:ascii="Times New Roman" w:hAnsi="Times New Roman" w:eastAsia="宋体" w:cs="Times New Roman"/>
          <w:color w:val="auto"/>
        </w:rPr>
        <w:t>2014</w:t>
      </w:r>
      <w:r>
        <w:rPr>
          <w:rFonts w:ascii="Times New Roman" w:eastAsia="宋体" w:cs="Times New Roman" w:hAnsiTheme="minorEastAsia"/>
          <w:color w:val="auto"/>
        </w:rPr>
        <w:t>〕</w:t>
      </w:r>
      <w:r>
        <w:rPr>
          <w:rFonts w:ascii="Times New Roman" w:hAnsi="Times New Roman" w:eastAsia="宋体" w:cs="Times New Roman"/>
          <w:color w:val="auto"/>
        </w:rPr>
        <w:t>68</w:t>
      </w:r>
      <w:r>
        <w:rPr>
          <w:rFonts w:ascii="Times New Roman" w:eastAsia="宋体" w:cs="Times New Roman" w:hAnsiTheme="minorEastAsia"/>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hAnsi="Times New Roman" w:eastAsia="宋体" w:cs="Times New Roman"/>
          <w:color w:val="auto"/>
        </w:rPr>
        <w:t>(</w:t>
      </w:r>
      <w:r>
        <w:rPr>
          <w:rFonts w:ascii="Times New Roman" w:eastAsia="宋体" w:cs="Times New Roman" w:hAnsiTheme="minorEastAsia"/>
          <w:color w:val="auto"/>
        </w:rPr>
        <w:t>设区的市</w:t>
      </w:r>
      <w:r>
        <w:rPr>
          <w:rFonts w:ascii="Times New Roman" w:hAnsi="Times New Roman" w:eastAsia="宋体" w:cs="Times New Roman"/>
          <w:color w:val="auto"/>
        </w:rPr>
        <w:t>)</w:t>
      </w:r>
      <w:r>
        <w:rPr>
          <w:rFonts w:ascii="Times New Roman" w:eastAsia="宋体" w:cs="Times New Roman" w:hAnsiTheme="minor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1A9D0E13">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szCs w:val="21"/>
        </w:rPr>
        <w:t>根据《财政部民政部中国残疾人联合会关于促进残疾人就业政府采购政策的通知》（财库〔</w:t>
      </w:r>
      <w:r>
        <w:rPr>
          <w:rFonts w:ascii="Times New Roman" w:hAnsi="Times New Roman" w:eastAsia="宋体" w:cs="Times New Roman"/>
          <w:color w:val="auto"/>
          <w:szCs w:val="21"/>
        </w:rPr>
        <w:t>2017</w:t>
      </w:r>
      <w:r>
        <w:rPr>
          <w:rFonts w:ascii="Times New Roman" w:eastAsia="宋体" w:cs="Times New Roman" w:hAnsiTheme="minorEastAsia"/>
          <w:color w:val="auto"/>
          <w:szCs w:val="21"/>
        </w:rPr>
        <w:t>〕</w:t>
      </w:r>
      <w:r>
        <w:rPr>
          <w:rFonts w:ascii="Times New Roman" w:hAnsi="Times New Roman" w:eastAsia="宋体" w:cs="Times New Roman"/>
          <w:color w:val="auto"/>
          <w:szCs w:val="21"/>
        </w:rPr>
        <w:t>141</w:t>
      </w:r>
      <w:r>
        <w:rPr>
          <w:rFonts w:ascii="Times New Roman" w:eastAsia="宋体" w:cs="Times New Roman" w:hAnsiTheme="minorEastAsia"/>
          <w:color w:val="auto"/>
          <w:szCs w:val="21"/>
        </w:rPr>
        <w:t>号）的规定，残疾人福利性单位视同为小型、微型企业。</w:t>
      </w:r>
    </w:p>
    <w:p w14:paraId="003E7B06">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5. </w:t>
      </w:r>
      <w:r>
        <w:rPr>
          <w:rFonts w:ascii="Times New Roman" w:eastAsia="宋体" w:cs="Times New Roman" w:hAnsiTheme="minorEastAsia"/>
          <w:color w:val="auto"/>
        </w:rPr>
        <w:t>合格的服务</w:t>
      </w:r>
    </w:p>
    <w:p w14:paraId="39B870C6">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5.1 </w:t>
      </w:r>
      <w:r>
        <w:rPr>
          <w:rFonts w:ascii="Times New Roman" w:eastAsia="宋体" w:cs="Times New Roman" w:hAnsiTheme="minorEastAsia"/>
          <w:color w:val="auto"/>
        </w:rPr>
        <w:t>投标人所提供的服务应当没有侵犯任何第三方的知识产权、技术秘密等合法权利。</w:t>
      </w:r>
    </w:p>
    <w:p w14:paraId="7EDEEB00">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5.2 </w:t>
      </w:r>
      <w:r>
        <w:rPr>
          <w:rFonts w:ascii="Times New Roman" w:eastAsia="宋体" w:cs="Times New Roman" w:hAnsiTheme="minorEastAsia"/>
          <w:color w:val="auto"/>
        </w:rPr>
        <w:t>投标人提供的服务应当符合招标文件的要求，并且其质量完全符合国家标准、行业标准或地方标准。</w:t>
      </w:r>
    </w:p>
    <w:p w14:paraId="65A35A9D">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w:t>
      </w:r>
      <w:r>
        <w:rPr>
          <w:rFonts w:hint="eastAsia" w:ascii="Times New Roman" w:eastAsia="宋体" w:cs="Times New Roman" w:hAnsiTheme="minorEastAsia"/>
          <w:color w:val="auto"/>
        </w:rPr>
        <w:t>系统软件、通用软件必须是具有在中国境内的合法使用权或版权的正版软件，涉及到第三方提出侵权或知识产权的起诉及支付版税等费用由投标人承担所有责任及费用。</w:t>
      </w:r>
    </w:p>
    <w:p w14:paraId="4E93B3DE">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6. </w:t>
      </w:r>
      <w:r>
        <w:rPr>
          <w:rFonts w:ascii="Times New Roman" w:eastAsia="宋体" w:cs="Times New Roman" w:hAnsiTheme="minorEastAsia"/>
          <w:color w:val="auto"/>
        </w:rPr>
        <w:t>投标费用</w:t>
      </w:r>
    </w:p>
    <w:p w14:paraId="4E21D301">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6.1 </w:t>
      </w:r>
      <w:r>
        <w:rPr>
          <w:rFonts w:ascii="Times New Roman" w:eastAsia="宋体" w:cs="Times New Roman" w:hAnsiTheme="minorEastAsia"/>
          <w:color w:val="auto"/>
        </w:rPr>
        <w:t>本项目不收取招标代理服务费。</w:t>
      </w:r>
    </w:p>
    <w:p w14:paraId="46E0B861">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6.2 </w:t>
      </w:r>
      <w:r>
        <w:rPr>
          <w:rFonts w:ascii="Times New Roman" w:eastAsia="宋体" w:cs="Times New Roman" w:hAnsiTheme="minorEastAsia"/>
          <w:color w:val="auto"/>
        </w:rPr>
        <w:t>无论投标过程中的做法和结果如何，投标人自行承担所有与参加投标有关的费用。</w:t>
      </w:r>
    </w:p>
    <w:p w14:paraId="7CD5407D">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7. </w:t>
      </w:r>
      <w:r>
        <w:rPr>
          <w:rFonts w:ascii="Times New Roman" w:eastAsia="宋体" w:cs="Times New Roman" w:hAnsiTheme="minorEastAsia"/>
          <w:color w:val="auto"/>
        </w:rPr>
        <w:t>信息发布</w:t>
      </w:r>
    </w:p>
    <w:p w14:paraId="3CFB2443">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本项目需要公开的有关信息，包括招标公告、更正公告、中标公告、终止公告等与招标活动有关的通知，采购人、采购代理机构均将通过</w:t>
      </w:r>
      <w:r>
        <w:rPr>
          <w:rFonts w:ascii="Times New Roman" w:hAnsi="Times New Roman" w:eastAsia="宋体" w:cs="Times New Roman"/>
          <w:color w:val="auto"/>
        </w:rPr>
        <w:t>“天津政府采购网（</w:t>
      </w:r>
      <w:r>
        <w:fldChar w:fldCharType="begin"/>
      </w:r>
      <w:r>
        <w:instrText xml:space="preserve"> HYPERLINK "http://tjgp.cz.tj.gov.cn" </w:instrText>
      </w:r>
      <w:r>
        <w:fldChar w:fldCharType="separate"/>
      </w:r>
      <w:r>
        <w:rPr>
          <w:rStyle w:val="26"/>
          <w:rFonts w:ascii="Times New Roman" w:hAnsi="Times New Roman" w:eastAsia="宋体" w:cs="Times New Roman"/>
        </w:rPr>
        <w:t>http://tjgp.cz.tj.gov.cn</w:t>
      </w:r>
      <w:r>
        <w:rPr>
          <w:rStyle w:val="26"/>
          <w:rFonts w:ascii="Times New Roman" w:hAnsi="Times New Roman" w:eastAsia="宋体" w:cs="Times New Roman"/>
        </w:rPr>
        <w:fldChar w:fldCharType="end"/>
      </w:r>
      <w:r>
        <w:rPr>
          <w:rFonts w:ascii="Times New Roman" w:hAnsi="Times New Roman" w:eastAsia="宋体" w:cs="Times New Roman"/>
          <w:color w:val="auto"/>
        </w:rPr>
        <w:t>）”和“天津政府采购中心网（</w:t>
      </w:r>
      <w:r>
        <w:fldChar w:fldCharType="begin"/>
      </w:r>
      <w:r>
        <w:instrText xml:space="preserve"> HYPERLINK "http://tjgpc.cz.tj.gov.cn/" </w:instrText>
      </w:r>
      <w:r>
        <w:fldChar w:fldCharType="separate"/>
      </w:r>
      <w:r>
        <w:rPr>
          <w:rStyle w:val="26"/>
          <w:rFonts w:ascii="Times New Roman" w:hAnsi="Times New Roman" w:eastAsia="宋体" w:cs="Times New Roman"/>
        </w:rPr>
        <w:t>http://tjgpc.zwfwb.tj.gov.cn/</w:t>
      </w:r>
      <w:r>
        <w:rPr>
          <w:rStyle w:val="26"/>
          <w:rFonts w:ascii="Times New Roman" w:hAnsi="Times New Roman" w:eastAsia="宋体" w:cs="Times New Roman"/>
        </w:rPr>
        <w:fldChar w:fldCharType="end"/>
      </w:r>
      <w:r>
        <w:rPr>
          <w:rFonts w:ascii="Times New Roman" w:hAnsi="Times New Roman" w:eastAsia="宋体" w:cs="Times New Roman"/>
          <w:color w:val="auto"/>
        </w:rPr>
        <w:t>）”</w:t>
      </w:r>
      <w:r>
        <w:rPr>
          <w:rFonts w:ascii="Times New Roman" w:eastAsia="宋体" w:cs="Times New Roman" w:hAnsiTheme="minorEastAsia"/>
          <w:color w:val="auto"/>
        </w:rPr>
        <w:t>公开发布。投标人在参与本采购项目招投标活动期间，请及时关注上述媒体和天津市政府采购中心招投标系统</w:t>
      </w:r>
      <w:r>
        <w:rPr>
          <w:rFonts w:ascii="Times New Roman" w:hAnsi="Times New Roman" w:eastAsia="宋体" w:cs="Times New Roman"/>
          <w:color w:val="auto"/>
        </w:rPr>
        <w:t>“</w:t>
      </w:r>
      <w:r>
        <w:rPr>
          <w:rFonts w:ascii="Times New Roman" w:eastAsia="宋体" w:cs="Times New Roman" w:hAnsiTheme="minorEastAsia"/>
          <w:color w:val="auto"/>
        </w:rPr>
        <w:t>查看项目文件</w:t>
      </w:r>
      <w:r>
        <w:rPr>
          <w:rFonts w:ascii="Times New Roman" w:hAnsi="Times New Roman" w:eastAsia="宋体" w:cs="Times New Roman"/>
          <w:color w:val="auto"/>
        </w:rPr>
        <w:t>”</w:t>
      </w:r>
      <w:r>
        <w:rPr>
          <w:rFonts w:ascii="Times New Roman" w:eastAsia="宋体" w:cs="Times New Roman" w:hAnsiTheme="minorEastAsia"/>
          <w:color w:val="auto"/>
        </w:rPr>
        <w:t>的相关信息。因没有及时关注而未能如期获取相关信息，投标人自行承担由此可能产生的风险。</w:t>
      </w:r>
    </w:p>
    <w:p w14:paraId="400764C2">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8. </w:t>
      </w:r>
      <w:r>
        <w:rPr>
          <w:rFonts w:hint="eastAsia" w:ascii="Times New Roman" w:eastAsia="宋体" w:cs="Times New Roman" w:hAnsiTheme="minorEastAsia"/>
          <w:color w:val="auto"/>
        </w:rPr>
        <w:t>询问与质疑</w:t>
      </w:r>
    </w:p>
    <w:p w14:paraId="3CE3A41C">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滨海新区政府采购中心提出。</w:t>
      </w:r>
    </w:p>
    <w:p w14:paraId="48E19B9C">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8.2 </w:t>
      </w:r>
      <w:r>
        <w:rPr>
          <w:rFonts w:hint="eastAsia" w:ascii="Times New Roman" w:eastAsia="宋体" w:cs="Times New Roman" w:hAnsiTheme="minorEastAsia"/>
          <w:color w:val="auto"/>
        </w:rPr>
        <w:t>询问</w:t>
      </w:r>
    </w:p>
    <w:p w14:paraId="1E616559">
      <w:pPr>
        <w:pStyle w:val="32"/>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1</w:t>
      </w:r>
      <w:r>
        <w:rPr>
          <w:rFonts w:hint="eastAsia" w:ascii="Times New Roman" w:eastAsia="宋体" w:cs="Times New Roman" w:hAnsiTheme="minorEastAsia"/>
          <w:color w:val="auto"/>
        </w:rPr>
        <w:t>）询问可以采取电话、当面或书面等形式。</w:t>
      </w:r>
    </w:p>
    <w:p w14:paraId="2AA64DDF">
      <w:pPr>
        <w:pStyle w:val="32"/>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2</w:t>
      </w:r>
      <w:r>
        <w:rPr>
          <w:rFonts w:hint="eastAsia" w:ascii="Times New Roman" w:eastAsia="宋体" w:cs="Times New Roman" w:hAnsiTheme="minorEastAsia"/>
          <w:color w:val="auto"/>
        </w:rPr>
        <w:t>）采购人应当自收到供应商询问之日起</w:t>
      </w:r>
      <w:r>
        <w:rPr>
          <w:rFonts w:hint="eastAsia" w:ascii="Times New Roman" w:hAnsi="Times New Roman" w:eastAsia="宋体" w:cs="Times New Roman"/>
          <w:color w:val="auto"/>
        </w:rPr>
        <w:t>3</w:t>
      </w:r>
      <w:r>
        <w:rPr>
          <w:rFonts w:hint="eastAsia" w:ascii="Times New Roman" w:eastAsia="宋体" w:cs="Times New Roman" w:hAnsiTheme="minorEastAsia"/>
          <w:color w:val="auto"/>
        </w:rPr>
        <w:t>个工作日内作出答复，但答复的内容不得涉及商业秘密或者依法应当保密的内容。</w:t>
      </w:r>
    </w:p>
    <w:p w14:paraId="7CDCCD4B">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8.3 </w:t>
      </w:r>
      <w:r>
        <w:rPr>
          <w:rFonts w:hint="eastAsia" w:ascii="Times New Roman" w:eastAsia="宋体" w:cs="Times New Roman" w:hAnsiTheme="minorEastAsia"/>
          <w:color w:val="auto"/>
        </w:rPr>
        <w:t>质疑</w:t>
      </w:r>
    </w:p>
    <w:p w14:paraId="1C646B64">
      <w:pPr>
        <w:pStyle w:val="32"/>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1</w:t>
      </w:r>
      <w:r>
        <w:rPr>
          <w:rFonts w:hint="eastAsia" w:ascii="Times New Roman" w:eastAsia="宋体" w:cs="Times New Roman" w:hAnsiTheme="minorEastAsia"/>
          <w:color w:val="auto"/>
        </w:rPr>
        <w:t>）提出质疑的供应商应当是参与所质疑项目采购活动的供应商。</w:t>
      </w:r>
    </w:p>
    <w:p w14:paraId="6C881037">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14:paraId="3F0E6EBF">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1BC9656C">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w:t>
      </w:r>
      <w:r>
        <w:fldChar w:fldCharType="begin"/>
      </w:r>
      <w:r>
        <w:instrText xml:space="preserve"> HYPERLINK "http://tjgp.cz.tj.gov.cn" </w:instrText>
      </w:r>
      <w:r>
        <w:fldChar w:fldCharType="separate"/>
      </w:r>
      <w:r>
        <w:rPr>
          <w:rStyle w:val="26"/>
          <w:rFonts w:hint="eastAsia" w:ascii="Times New Roman" w:hAnsi="Times New Roman" w:eastAsia="宋体" w:cs="Times New Roman"/>
        </w:rPr>
        <w:t>http://tjgp.cz.tj.gov.cn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下载专区”中的“质疑函格式文本”）。质疑函应当明确阐述采购文件、采购过程、采购结果使自己的合法权益受到损害的法律依据、事实依据、相关证明材料及证据来源，以便于有关单位调查、答复和处理。</w:t>
      </w:r>
    </w:p>
    <w:p w14:paraId="4A20A461">
      <w:pPr>
        <w:pStyle w:val="32"/>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4</w:t>
      </w:r>
      <w:r>
        <w:rPr>
          <w:rFonts w:hint="eastAsia" w:ascii="Times New Roman" w:eastAsia="宋体" w:cs="Times New Roman" w:hAnsiTheme="minor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有权将质疑函转发质疑事项各关联方，请其作出解释说明。对捏造事实、滥用维权扰乱采购秩序的恶意质疑者，将上报天津市滨海新区财政局政府采购办公室依法处理。</w:t>
      </w:r>
    </w:p>
    <w:p w14:paraId="16EEA555">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8.4 </w:t>
      </w:r>
      <w:r>
        <w:rPr>
          <w:rFonts w:hint="eastAsia" w:ascii="Times New Roman" w:eastAsia="宋体" w:cs="Times New Roman" w:hAnsiTheme="minorEastAsia"/>
          <w:color w:val="auto"/>
        </w:rPr>
        <w:t>针对询问或质疑的答复内容需要修改采购文件的，其修改内容应当以天津市政府采购网发布的更正公告为准。</w:t>
      </w:r>
    </w:p>
    <w:p w14:paraId="522D1D20">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9. </w:t>
      </w:r>
      <w:r>
        <w:rPr>
          <w:rFonts w:ascii="Times New Roman" w:eastAsia="宋体" w:cs="Times New Roman" w:hAnsiTheme="minorEastAsia"/>
          <w:color w:val="auto"/>
        </w:rPr>
        <w:t>其他</w:t>
      </w:r>
    </w:p>
    <w:p w14:paraId="0CE98FBF">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本《投标须知》的条款如与《投标邀请函》、《招标项目需求》就同一内容的表述不一致的，以《投标邀请函》、《招标项目需求》中规定的内容为准。</w:t>
      </w:r>
    </w:p>
    <w:p w14:paraId="72938A34">
      <w:pPr>
        <w:pStyle w:val="32"/>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 xml:space="preserve">B  </w:t>
      </w:r>
      <w:r>
        <w:rPr>
          <w:rFonts w:ascii="Times New Roman" w:eastAsia="宋体" w:cs="Times New Roman" w:hAnsiTheme="minorEastAsia"/>
          <w:color w:val="auto"/>
        </w:rPr>
        <w:t>招标文件说明</w:t>
      </w:r>
    </w:p>
    <w:p w14:paraId="5AA5628D">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10. </w:t>
      </w:r>
      <w:r>
        <w:rPr>
          <w:rFonts w:ascii="Times New Roman" w:eastAsia="宋体" w:cs="Times New Roman" w:hAnsiTheme="minorEastAsia"/>
          <w:color w:val="auto"/>
        </w:rPr>
        <w:t>招标文件的构成</w:t>
      </w:r>
    </w:p>
    <w:p w14:paraId="478979CA">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w:t>
      </w:r>
      <w:r>
        <w:rPr>
          <w:rFonts w:ascii="Times New Roman" w:eastAsia="宋体" w:cs="Times New Roman" w:hAnsiTheme="minorEastAsia"/>
          <w:color w:val="auto"/>
        </w:rPr>
        <w:t>招标文件由下述部分组成：</w:t>
      </w:r>
    </w:p>
    <w:p w14:paraId="1A29A60F">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1</w:t>
      </w:r>
      <w:r>
        <w:rPr>
          <w:rFonts w:ascii="Times New Roman" w:eastAsia="宋体" w:cs="Times New Roman" w:hAnsiTheme="minorEastAsia"/>
          <w:color w:val="auto"/>
        </w:rPr>
        <w:t>）投标邀请函</w:t>
      </w:r>
    </w:p>
    <w:p w14:paraId="6E2B0710">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2</w:t>
      </w:r>
      <w:r>
        <w:rPr>
          <w:rFonts w:ascii="Times New Roman" w:eastAsia="宋体" w:cs="Times New Roman" w:hAnsiTheme="minorEastAsia"/>
          <w:color w:val="auto"/>
        </w:rPr>
        <w:t>）招标项目需求</w:t>
      </w:r>
    </w:p>
    <w:p w14:paraId="76842548">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3</w:t>
      </w:r>
      <w:r>
        <w:rPr>
          <w:rFonts w:ascii="Times New Roman" w:eastAsia="宋体" w:cs="Times New Roman" w:hAnsiTheme="minorEastAsia"/>
          <w:color w:val="auto"/>
        </w:rPr>
        <w:t>）投标须知</w:t>
      </w:r>
    </w:p>
    <w:p w14:paraId="155F1FC4">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4</w:t>
      </w:r>
      <w:r>
        <w:rPr>
          <w:rFonts w:ascii="Times New Roman" w:eastAsia="宋体" w:cs="Times New Roman" w:hAnsiTheme="minorEastAsia"/>
          <w:color w:val="auto"/>
        </w:rPr>
        <w:t>）合同条款</w:t>
      </w:r>
    </w:p>
    <w:p w14:paraId="20CD6878">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5</w:t>
      </w:r>
      <w:r>
        <w:rPr>
          <w:rFonts w:ascii="Times New Roman" w:eastAsia="宋体" w:cs="Times New Roman" w:hAnsiTheme="minorEastAsia"/>
          <w:color w:val="auto"/>
        </w:rPr>
        <w:t>）投标文件格式</w:t>
      </w:r>
    </w:p>
    <w:p w14:paraId="5E9933E0">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6</w:t>
      </w:r>
      <w:r>
        <w:rPr>
          <w:rFonts w:ascii="Times New Roman" w:eastAsia="宋体" w:cs="Times New Roman" w:hAnsiTheme="minorEastAsia"/>
          <w:color w:val="auto"/>
        </w:rPr>
        <w:t>）本项目招标文件的更正公告内容（如有）</w:t>
      </w:r>
    </w:p>
    <w:p w14:paraId="16C15884">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10.2 </w:t>
      </w:r>
      <w:r>
        <w:rPr>
          <w:rFonts w:ascii="Times New Roman" w:eastAsia="宋体" w:cs="Times New Roman" w:hAnsiTheme="minorEastAsia"/>
          <w:color w:val="auto"/>
        </w:rPr>
        <w:t>除非有特殊要求，招标文件不单独提供招标项目使用地的自然环境、气候条件、公用设施等情况，投标人被视为熟悉上述与履行合同有关的一切情况。</w:t>
      </w:r>
    </w:p>
    <w:p w14:paraId="38CFDF16">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w:t>
      </w:r>
      <w:r>
        <w:rPr>
          <w:rFonts w:hint="eastAsia" w:ascii="Times New Roman" w:eastAsia="宋体" w:cs="Times New Roman" w:hAnsiTheme="minorEastAsia"/>
          <w:color w:val="auto"/>
        </w:rPr>
        <w:t>加注</w:t>
      </w:r>
      <w:r>
        <w:rPr>
          <w:rFonts w:hint="eastAsia" w:ascii="Times New Roman" w:hAnsi="Times New Roman" w:eastAsia="宋体" w:cs="Times New Roman"/>
          <w:color w:val="auto"/>
        </w:rPr>
        <w:t>“</w:t>
      </w:r>
      <w:r>
        <w:rPr>
          <w:rFonts w:hint="eastAsia" w:ascii="Times New Roman" w:eastAsia="宋体" w:cs="Times New Roman" w:hAnsiTheme="minorEastAsia"/>
          <w:color w:val="auto"/>
        </w:rPr>
        <w:t>★</w:t>
      </w:r>
      <w:r>
        <w:rPr>
          <w:rFonts w:hint="eastAsia" w:ascii="Times New Roman" w:hAnsi="Times New Roman" w:eastAsia="宋体" w:cs="Times New Roman"/>
          <w:color w:val="auto"/>
        </w:rPr>
        <w:t>”</w:t>
      </w:r>
      <w:r>
        <w:rPr>
          <w:rFonts w:hint="eastAsia" w:ascii="Times New Roman" w:eastAsia="宋体" w:cs="Times New Roman" w:hAnsiTheme="minorEastAsia"/>
          <w:color w:val="auto"/>
        </w:rPr>
        <w:t>号条款为实质性条款，不得出现负偏离，发生负偏离即做无效标处理。</w:t>
      </w:r>
    </w:p>
    <w:p w14:paraId="07BBC3DA">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10.4 </w:t>
      </w:r>
      <w:r>
        <w:rPr>
          <w:rFonts w:ascii="Times New Roman" w:eastAsia="宋体" w:cs="Times New Roman" w:hAnsiTheme="minorEastAsia"/>
          <w:color w:val="auto"/>
        </w:rPr>
        <w:t>招标文件中涉及的参照品牌、型号仅起说明作用，并没有任何限制性，投标人在投标中可以选用其他替代品牌或型号，但这些替代要实质上优于或相当于招标要求。</w:t>
      </w:r>
    </w:p>
    <w:p w14:paraId="64FCE365">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11. </w:t>
      </w:r>
      <w:r>
        <w:rPr>
          <w:rFonts w:ascii="Times New Roman" w:eastAsia="宋体" w:cs="Times New Roman" w:hAnsiTheme="minorEastAsia"/>
          <w:color w:val="auto"/>
        </w:rPr>
        <w:t>招标文件的澄清和修改</w:t>
      </w:r>
    </w:p>
    <w:p w14:paraId="58F58030">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11.1 </w:t>
      </w:r>
      <w:r>
        <w:rPr>
          <w:rFonts w:ascii="Times New Roman" w:eastAsia="宋体" w:cs="Times New Roman" w:hAnsiTheme="minorEastAsia"/>
          <w:color w:val="auto"/>
        </w:rPr>
        <w:t>投标截止前，采购人、采购代理机构需要对招标文件进行补充或修改的，采购人、采购代理机构将会通过</w:t>
      </w:r>
      <w:r>
        <w:rPr>
          <w:rFonts w:ascii="Times New Roman" w:hAnsi="Times New Roman" w:eastAsia="宋体" w:cs="Times New Roman"/>
          <w:color w:val="auto"/>
        </w:rPr>
        <w:t>“</w:t>
      </w:r>
      <w:r>
        <w:rPr>
          <w:rFonts w:ascii="Times New Roman" w:eastAsia="宋体" w:cs="Times New Roman" w:hAnsiTheme="minorEastAsia"/>
          <w:color w:val="auto"/>
        </w:rPr>
        <w:t>天津市政府采购网</w:t>
      </w:r>
      <w:r>
        <w:rPr>
          <w:rFonts w:ascii="Times New Roman" w:hAnsi="Times New Roman" w:eastAsia="宋体" w:cs="Times New Roman"/>
          <w:color w:val="auto"/>
        </w:rPr>
        <w:t>”</w:t>
      </w:r>
      <w:r>
        <w:rPr>
          <w:rFonts w:ascii="Times New Roman" w:eastAsia="宋体" w:cs="Times New Roman" w:hAnsiTheme="minorEastAsia"/>
          <w:color w:val="auto"/>
        </w:rPr>
        <w:t>、</w:t>
      </w:r>
      <w:r>
        <w:rPr>
          <w:rFonts w:ascii="Times New Roman" w:hAnsi="Times New Roman" w:eastAsia="宋体" w:cs="Times New Roman"/>
          <w:color w:val="auto"/>
        </w:rPr>
        <w:t>“</w:t>
      </w:r>
      <w:r>
        <w:rPr>
          <w:rFonts w:ascii="Times New Roman" w:eastAsia="宋体" w:cs="Times New Roman" w:hAnsiTheme="minorEastAsia"/>
          <w:color w:val="auto"/>
        </w:rPr>
        <w:t>天津市政府采购中心网</w:t>
      </w:r>
      <w:r>
        <w:rPr>
          <w:rFonts w:ascii="Times New Roman" w:hAnsi="Times New Roman" w:eastAsia="宋体" w:cs="Times New Roman"/>
          <w:color w:val="auto"/>
        </w:rPr>
        <w:t>”</w:t>
      </w:r>
      <w:r>
        <w:rPr>
          <w:rFonts w:ascii="Times New Roman" w:eastAsia="宋体" w:cs="Times New Roman" w:hAnsiTheme="minorEastAsia"/>
          <w:color w:val="auto"/>
        </w:rPr>
        <w:t>以更正公告形式发布。</w:t>
      </w:r>
    </w:p>
    <w:p w14:paraId="79B3B382">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11.2 </w:t>
      </w:r>
      <w:r>
        <w:rPr>
          <w:rFonts w:ascii="Times New Roman" w:eastAsia="宋体" w:cs="Times New Roman" w:hAnsiTheme="minorEastAsia"/>
          <w:color w:val="auto"/>
        </w:rPr>
        <w:t>更正公告一经在</w:t>
      </w:r>
      <w:r>
        <w:rPr>
          <w:rFonts w:ascii="Times New Roman" w:hAnsi="Times New Roman" w:eastAsia="宋体" w:cs="Times New Roman"/>
          <w:color w:val="auto"/>
        </w:rPr>
        <w:t>“</w:t>
      </w:r>
      <w:r>
        <w:rPr>
          <w:rFonts w:ascii="Times New Roman" w:eastAsia="宋体" w:cs="Times New Roman" w:hAnsiTheme="minorEastAsia"/>
          <w:color w:val="auto"/>
        </w:rPr>
        <w:t>天津市政府采购网</w:t>
      </w:r>
      <w:r>
        <w:rPr>
          <w:rFonts w:ascii="Times New Roman" w:hAnsi="Times New Roman" w:eastAsia="宋体" w:cs="Times New Roman"/>
          <w:color w:val="auto"/>
        </w:rPr>
        <w:t>”</w:t>
      </w:r>
      <w:r>
        <w:rPr>
          <w:rFonts w:ascii="Times New Roman" w:eastAsia="宋体" w:cs="Times New Roman" w:hAnsiTheme="minorEastAsia"/>
          <w:color w:val="auto"/>
        </w:rPr>
        <w:t>、</w:t>
      </w:r>
      <w:r>
        <w:rPr>
          <w:rFonts w:ascii="Times New Roman" w:hAnsi="Times New Roman" w:eastAsia="宋体" w:cs="Times New Roman"/>
          <w:color w:val="auto"/>
        </w:rPr>
        <w:t>“</w:t>
      </w:r>
      <w:r>
        <w:rPr>
          <w:rFonts w:ascii="Times New Roman" w:eastAsia="宋体" w:cs="Times New Roman" w:hAnsiTheme="minorEastAsia"/>
          <w:color w:val="auto"/>
        </w:rPr>
        <w:t>天津市政府采购中心网</w:t>
      </w:r>
      <w:r>
        <w:rPr>
          <w:rFonts w:ascii="Times New Roman" w:hAnsi="Times New Roman" w:eastAsia="宋体" w:cs="Times New Roman"/>
          <w:color w:val="auto"/>
        </w:rPr>
        <w:t>”</w:t>
      </w:r>
      <w:r>
        <w:rPr>
          <w:rFonts w:ascii="Times New Roman" w:eastAsia="宋体" w:cs="Times New Roman" w:hAnsiTheme="minorEastAsia"/>
          <w:color w:val="auto"/>
        </w:rPr>
        <w:t>发布，天津市政府采购中心招投标系统将自动发送通知至已报名供应商的</w:t>
      </w:r>
      <w:r>
        <w:rPr>
          <w:rFonts w:ascii="Times New Roman" w:hAnsi="Times New Roman" w:eastAsia="宋体" w:cs="Times New Roman"/>
          <w:color w:val="auto"/>
        </w:rPr>
        <w:t>“</w:t>
      </w:r>
      <w:r>
        <w:rPr>
          <w:rFonts w:ascii="Times New Roman" w:eastAsia="宋体" w:cs="Times New Roman" w:hAnsiTheme="minorEastAsia"/>
          <w:color w:val="auto"/>
        </w:rPr>
        <w:t>查看项目文件</w:t>
      </w:r>
      <w:r>
        <w:rPr>
          <w:rFonts w:ascii="Times New Roman" w:hAnsi="Times New Roman" w:eastAsia="宋体" w:cs="Times New Roman"/>
          <w:color w:val="auto"/>
        </w:rPr>
        <w:t>”</w:t>
      </w:r>
      <w:r>
        <w:rPr>
          <w:rFonts w:ascii="Times New Roman" w:eastAsia="宋体" w:cs="Times New Roman" w:hAnsiTheme="minorEastAsia"/>
          <w:color w:val="auto"/>
        </w:rPr>
        <w:t>，视同已书面通知所有招标文件的收受人。请参与项目的供应商及时关注更正公告，由此导致的风险由投标人自行承担，采购人、采购代理机构不承担任何责任。</w:t>
      </w:r>
    </w:p>
    <w:p w14:paraId="2936479A">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11.3 </w:t>
      </w:r>
      <w:r>
        <w:rPr>
          <w:rFonts w:ascii="Times New Roman" w:eastAsia="宋体" w:cs="Times New Roman" w:hAnsiTheme="minorEastAsia"/>
          <w:color w:val="auto"/>
        </w:rPr>
        <w:t>更正公告的内容为招标文件的组成部分。当招标文件与更正公告就同一内容的表述不一致时，以最后发出的更正公告内容为准。</w:t>
      </w:r>
    </w:p>
    <w:p w14:paraId="5836D31A">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11.4 </w:t>
      </w:r>
      <w:r>
        <w:rPr>
          <w:rFonts w:ascii="Times New Roman" w:eastAsia="宋体" w:cs="Times New Roman" w:hAnsiTheme="minor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6FAE78B2">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eastAsia="宋体" w:cs="Times New Roman" w:hAnsiTheme="minorEastAsia"/>
          <w:color w:val="auto"/>
        </w:rPr>
        <w:t>答疑会和踏勘现场</w:t>
      </w:r>
    </w:p>
    <w:p w14:paraId="27FA628E">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12.1 </w:t>
      </w:r>
      <w:r>
        <w:rPr>
          <w:rFonts w:ascii="Times New Roman" w:eastAsia="宋体" w:cs="Times New Roman" w:hAnsiTheme="minorEastAsia"/>
          <w:color w:val="auto"/>
        </w:rPr>
        <w:t>采购人、采购代理机构召开答疑会的，所有投标人应按《投标邀请函》规定的时间、地点参加答疑会。投标人如不参加，其风险由投标人自行承担，采购人、采购代理机构不承担任何责任。</w:t>
      </w:r>
    </w:p>
    <w:p w14:paraId="4316D203">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12.2 </w:t>
      </w:r>
      <w:r>
        <w:rPr>
          <w:rFonts w:ascii="Times New Roman" w:eastAsia="宋体" w:cs="Times New Roman" w:hAnsiTheme="minorEastAsia"/>
          <w:color w:val="auto"/>
        </w:rPr>
        <w:t>采购人、采购代理机构组织踏勘现场的，所有投标人按《投标邀请函》规定的时间、地点参加踏勘现场活动。投标人如不参加，其风险由投标人自行承担，采购人、采购代理机构不承担任何责任。</w:t>
      </w:r>
    </w:p>
    <w:p w14:paraId="77F26E5C">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12.3 </w:t>
      </w:r>
      <w:r>
        <w:rPr>
          <w:rFonts w:ascii="Times New Roman" w:eastAsia="宋体" w:cs="Times New Roman" w:hAnsiTheme="minorEastAsia"/>
          <w:color w:val="auto"/>
        </w:rPr>
        <w:t>采购人、采购代理机构在答疑会或踏勘现场中口头介绍的情况，除经</w:t>
      </w:r>
      <w:r>
        <w:rPr>
          <w:rFonts w:ascii="Times New Roman" w:hAnsi="Times New Roman" w:eastAsia="宋体" w:cs="Times New Roman"/>
          <w:color w:val="auto"/>
        </w:rPr>
        <w:t>“</w:t>
      </w:r>
      <w:r>
        <w:rPr>
          <w:rFonts w:ascii="Times New Roman" w:eastAsia="宋体" w:cs="Times New Roman" w:hAnsiTheme="minorEastAsia"/>
          <w:color w:val="auto"/>
        </w:rPr>
        <w:t>天津市政府采购网</w:t>
      </w:r>
      <w:r>
        <w:rPr>
          <w:rFonts w:ascii="Times New Roman" w:hAnsi="Times New Roman" w:eastAsia="宋体" w:cs="Times New Roman"/>
          <w:color w:val="auto"/>
        </w:rPr>
        <w:t>”</w:t>
      </w:r>
      <w:r>
        <w:rPr>
          <w:rFonts w:ascii="Times New Roman" w:eastAsia="宋体" w:cs="Times New Roman" w:hAnsiTheme="minorEastAsia"/>
          <w:color w:val="auto"/>
        </w:rPr>
        <w:t>、</w:t>
      </w:r>
      <w:r>
        <w:rPr>
          <w:rFonts w:ascii="Times New Roman" w:hAnsi="Times New Roman" w:eastAsia="宋体" w:cs="Times New Roman"/>
          <w:color w:val="auto"/>
        </w:rPr>
        <w:t>“</w:t>
      </w:r>
      <w:r>
        <w:rPr>
          <w:rFonts w:ascii="Times New Roman" w:eastAsia="宋体" w:cs="Times New Roman" w:hAnsiTheme="minorEastAsia"/>
          <w:color w:val="auto"/>
        </w:rPr>
        <w:t>天津市政府采购中心网</w:t>
      </w:r>
      <w:r>
        <w:rPr>
          <w:rFonts w:ascii="Times New Roman" w:hAnsi="Times New Roman" w:eastAsia="宋体" w:cs="Times New Roman"/>
          <w:color w:val="auto"/>
        </w:rPr>
        <w:t>”</w:t>
      </w:r>
      <w:r>
        <w:rPr>
          <w:rFonts w:ascii="Times New Roman" w:eastAsia="宋体" w:cs="Times New Roman" w:hAnsiTheme="minorEastAsia"/>
          <w:color w:val="auto"/>
        </w:rPr>
        <w:t>以更正公告的形式发布外，不构成对招标文件的修改，不作为投标人编制投标文件的依据。</w:t>
      </w:r>
    </w:p>
    <w:p w14:paraId="19318307">
      <w:pPr>
        <w:pStyle w:val="32"/>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 xml:space="preserve">C  </w:t>
      </w:r>
      <w:r>
        <w:rPr>
          <w:rFonts w:ascii="Times New Roman" w:eastAsia="宋体" w:cs="Times New Roman" w:hAnsiTheme="minorEastAsia"/>
          <w:color w:val="auto"/>
        </w:rPr>
        <w:t>投标文件的编制</w:t>
      </w:r>
    </w:p>
    <w:p w14:paraId="3BB922CB">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13. </w:t>
      </w:r>
      <w:r>
        <w:rPr>
          <w:rFonts w:ascii="Times New Roman" w:eastAsia="宋体" w:cs="Times New Roman" w:hAnsiTheme="minorEastAsia"/>
          <w:color w:val="auto"/>
        </w:rPr>
        <w:t>要求</w:t>
      </w:r>
    </w:p>
    <w:p w14:paraId="61B1EC68">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13.1 </w:t>
      </w:r>
      <w:r>
        <w:rPr>
          <w:rFonts w:ascii="Times New Roman" w:eastAsia="宋体" w:cs="Times New Roman" w:hAnsiTheme="minorEastAsia"/>
          <w:color w:val="auto"/>
        </w:rPr>
        <w:t>投标人应仔细阅读招标文件的所有内容，按招标文件要求编制投标文件，以使其投标对招标文件做出实质性响应。否则，其投标文件可能被拒绝，投标人须自行承担由此引起的风险和责任。</w:t>
      </w:r>
    </w:p>
    <w:p w14:paraId="15C9FA14">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13.2 </w:t>
      </w:r>
      <w:r>
        <w:rPr>
          <w:rFonts w:ascii="Times New Roman" w:eastAsia="宋体" w:cs="Times New Roman" w:hAnsiTheme="minorEastAsia"/>
          <w:color w:val="auto"/>
        </w:rPr>
        <w:t>投标人应根据招标项目需求和投标文件格式编制投标文件，保证其真实有效，并承担相应的法律责任。</w:t>
      </w:r>
    </w:p>
    <w:p w14:paraId="029B8A7F">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13.3 </w:t>
      </w:r>
      <w:r>
        <w:rPr>
          <w:rFonts w:ascii="Times New Roman" w:eastAsia="宋体" w:cs="Times New Roman" w:hAnsiTheme="minorEastAsia"/>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600716E8">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14. </w:t>
      </w:r>
      <w:r>
        <w:rPr>
          <w:rFonts w:ascii="Times New Roman" w:eastAsia="宋体" w:cs="Times New Roman" w:hAnsiTheme="minorEastAsia"/>
          <w:color w:val="auto"/>
        </w:rPr>
        <w:t>投标语言及计量单位</w:t>
      </w:r>
    </w:p>
    <w:p w14:paraId="5D7FB272">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14.1 </w:t>
      </w:r>
      <w:r>
        <w:rPr>
          <w:rFonts w:ascii="Times New Roman" w:eastAsia="宋体" w:cs="Times New Roman" w:hAnsiTheme="minor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61A9A017">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14.2 </w:t>
      </w:r>
      <w:r>
        <w:rPr>
          <w:rFonts w:ascii="Times New Roman" w:eastAsia="宋体" w:cs="Times New Roman" w:hAnsiTheme="minorEastAsia"/>
          <w:color w:val="auto"/>
        </w:rPr>
        <w:t>除在招标文件中另有规定，投标文件所使用的计量单位均应使用中华人民共和国法定计量单位。</w:t>
      </w:r>
    </w:p>
    <w:p w14:paraId="2C0D69FE">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15. </w:t>
      </w:r>
      <w:r>
        <w:rPr>
          <w:rFonts w:ascii="Times New Roman" w:eastAsia="宋体" w:cs="Times New Roman" w:hAnsiTheme="minorEastAsia"/>
          <w:color w:val="auto"/>
        </w:rPr>
        <w:t>投标文件格式</w:t>
      </w:r>
    </w:p>
    <w:p w14:paraId="39CA3C56">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15.1 </w:t>
      </w:r>
      <w:r>
        <w:rPr>
          <w:rFonts w:ascii="Times New Roman" w:eastAsia="宋体" w:cs="Times New Roman" w:hAnsiTheme="minorEastAsia"/>
          <w:color w:val="auto"/>
        </w:rPr>
        <w:t>投标人应按招标文件中提供的投标文件格式完整填写。因不按要求编制而引起系统无法检索、读取相关信息时，其后果由投标人自行承担。</w:t>
      </w:r>
    </w:p>
    <w:p w14:paraId="36269B12">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15.2 </w:t>
      </w:r>
      <w:r>
        <w:rPr>
          <w:rFonts w:ascii="Times New Roman" w:eastAsia="宋体" w:cs="Times New Roman" w:hAnsiTheme="minorEastAsia"/>
          <w:color w:val="auto"/>
        </w:rPr>
        <w:t>投标人可对本招标文件</w:t>
      </w:r>
      <w:r>
        <w:rPr>
          <w:rFonts w:ascii="Times New Roman" w:hAnsi="Times New Roman" w:eastAsia="宋体" w:cs="Times New Roman"/>
          <w:color w:val="auto"/>
        </w:rPr>
        <w:t>“</w:t>
      </w:r>
      <w:r>
        <w:rPr>
          <w:rFonts w:ascii="Times New Roman" w:eastAsia="宋体" w:cs="Times New Roman" w:hAnsiTheme="minorEastAsia"/>
          <w:color w:val="auto"/>
        </w:rPr>
        <w:t>招标项目要求</w:t>
      </w:r>
      <w:r>
        <w:rPr>
          <w:rFonts w:ascii="Times New Roman" w:hAnsi="Times New Roman" w:eastAsia="宋体" w:cs="Times New Roman"/>
          <w:color w:val="auto"/>
        </w:rPr>
        <w:t>”</w:t>
      </w:r>
      <w:r>
        <w:rPr>
          <w:rFonts w:ascii="Times New Roman" w:eastAsia="宋体" w:cs="Times New Roman" w:hAnsiTheme="minorEastAsia"/>
          <w:color w:val="auto"/>
        </w:rPr>
        <w:t>所列的所有服务进行投标，也可只对其中一包或几包的服务投标；若无特殊说明，每一包的内容不得分项投标，采购人原则上按照整包确定中标供应商。</w:t>
      </w:r>
    </w:p>
    <w:p w14:paraId="08321677">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15.3 </w:t>
      </w:r>
      <w:r>
        <w:rPr>
          <w:rFonts w:hint="eastAsia" w:ascii="Times New Roman" w:eastAsia="宋体" w:cs="Times New Roman" w:hAnsiTheme="minor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4A4C492A">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eastAsia="宋体" w:cs="Times New Roman" w:hAnsiTheme="minorEastAsia"/>
          <w:color w:val="auto"/>
        </w:rPr>
        <w:t>如投标多个包的，要求按包分别独立制作投标文件。</w:t>
      </w:r>
    </w:p>
    <w:p w14:paraId="7EFD49E5">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eastAsia="宋体" w:cs="Times New Roman" w:hAnsiTheme="minorEastAsia"/>
          <w:color w:val="auto"/>
        </w:rPr>
        <w:t>投标文件（包括封面和目录）的每一页，从封面开始按阿拉伯数字</w:t>
      </w:r>
      <w:r>
        <w:rPr>
          <w:rFonts w:ascii="Times New Roman" w:hAnsi="Times New Roman" w:eastAsia="宋体" w:cs="Times New Roman"/>
          <w:color w:val="auto"/>
        </w:rPr>
        <w:t>1</w:t>
      </w:r>
      <w:r>
        <w:rPr>
          <w:rFonts w:ascii="Times New Roman" w:eastAsia="宋体" w:cs="Times New Roman" w:hAnsiTheme="minorEastAsia"/>
          <w:color w:val="auto"/>
        </w:rPr>
        <w:t>、</w:t>
      </w:r>
      <w:r>
        <w:rPr>
          <w:rFonts w:ascii="Times New Roman" w:hAnsi="Times New Roman" w:eastAsia="宋体" w:cs="Times New Roman"/>
          <w:color w:val="auto"/>
        </w:rPr>
        <w:t>2</w:t>
      </w:r>
      <w:r>
        <w:rPr>
          <w:rFonts w:ascii="Times New Roman" w:eastAsia="宋体" w:cs="Times New Roman" w:hAnsiTheme="minorEastAsia"/>
          <w:color w:val="auto"/>
        </w:rPr>
        <w:t>、</w:t>
      </w:r>
      <w:r>
        <w:rPr>
          <w:rFonts w:ascii="Times New Roman" w:hAnsi="Times New Roman" w:eastAsia="宋体" w:cs="Times New Roman"/>
          <w:color w:val="auto"/>
        </w:rPr>
        <w:t>3…</w:t>
      </w:r>
      <w:r>
        <w:rPr>
          <w:rFonts w:ascii="Times New Roman" w:eastAsia="宋体" w:cs="Times New Roman" w:hAnsiTheme="minorEastAsia"/>
          <w:color w:val="auto"/>
        </w:rPr>
        <w:t>顺序编制页码。</w:t>
      </w:r>
    </w:p>
    <w:p w14:paraId="04AC2B65">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16. </w:t>
      </w:r>
      <w:r>
        <w:rPr>
          <w:rFonts w:ascii="Times New Roman" w:eastAsia="宋体" w:cs="Times New Roman" w:hAnsiTheme="minorEastAsia"/>
          <w:color w:val="auto"/>
        </w:rPr>
        <w:t>投标报价</w:t>
      </w:r>
    </w:p>
    <w:p w14:paraId="5E7ADC01">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16.1 </w:t>
      </w:r>
      <w:r>
        <w:rPr>
          <w:rFonts w:ascii="Times New Roman" w:eastAsia="宋体" w:cs="Times New Roman" w:hAnsiTheme="minorEastAsia"/>
          <w:color w:val="auto"/>
        </w:rPr>
        <w:t>投标书、开标一览表等各表中的报价，若无特殊说明应采用人民币填报。</w:t>
      </w:r>
    </w:p>
    <w:p w14:paraId="48B4A9EA">
      <w:pPr>
        <w:pStyle w:val="32"/>
        <w:ind w:firstLine="446"/>
        <w:rPr>
          <w:rFonts w:ascii="Times New Roman" w:hAnsi="Times New Roman" w:eastAsia="宋体"/>
        </w:rPr>
      </w:pPr>
      <w:r>
        <w:rPr>
          <w:rFonts w:ascii="Times New Roman" w:hAnsi="Times New Roman" w:eastAsia="宋体" w:cs="Times New Roman"/>
          <w:color w:val="auto"/>
        </w:rPr>
        <w:t>16.2</w:t>
      </w:r>
      <w:r>
        <w:rPr>
          <w:rFonts w:ascii="Times New Roman" w:eastAsia="宋体" w:hAnsiTheme="minorEastAsia"/>
        </w:rPr>
        <w:t>投标报价是为完成招标文件规定的一切工作所需的全部费用的最终优惠价格。</w:t>
      </w:r>
    </w:p>
    <w:p w14:paraId="6B6DE4B7">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16.3 </w:t>
      </w:r>
      <w:r>
        <w:rPr>
          <w:rFonts w:ascii="Times New Roman" w:eastAsia="宋体" w:cs="Times New Roman" w:hAnsiTheme="minorEastAsia"/>
          <w:color w:val="auto"/>
        </w:rPr>
        <w:t>除《招标项目需求》中说明并允许外，投标的每一个货物、服务的单项报价以及采购项目的投标总价均只允许有一个报价，任何有选择的报价，采购人、采购代理机构均将予以拒绝。</w:t>
      </w:r>
    </w:p>
    <w:p w14:paraId="3295C629">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17. </w:t>
      </w:r>
      <w:r>
        <w:rPr>
          <w:rFonts w:ascii="Times New Roman" w:eastAsia="宋体" w:cs="Times New Roman" w:hAnsiTheme="minorEastAsia"/>
          <w:color w:val="auto"/>
        </w:rPr>
        <w:t>投标人资格证明文件</w:t>
      </w:r>
    </w:p>
    <w:p w14:paraId="6BD6712A">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投标人必须提交证明其有资格进行投标和有能力履行合同的文件，作为投标文件的一部分。</w:t>
      </w:r>
    </w:p>
    <w:p w14:paraId="0498EB0E">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1</w:t>
      </w:r>
      <w:r>
        <w:rPr>
          <w:rFonts w:ascii="Times New Roman" w:eastAsia="宋体" w:cs="Times New Roman" w:hAnsiTheme="minorEastAsia"/>
          <w:color w:val="auto"/>
        </w:rPr>
        <w:t>）《投标邀请函》中规定的供应商资格要求（实质性要求）证明文件；</w:t>
      </w:r>
    </w:p>
    <w:p w14:paraId="1FAD3EF4">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2</w:t>
      </w:r>
      <w:r>
        <w:rPr>
          <w:rFonts w:ascii="Times New Roman" w:eastAsia="宋体" w:cs="Times New Roman" w:hAnsiTheme="minorEastAsia"/>
          <w:color w:val="auto"/>
        </w:rPr>
        <w:t>）若国家及行业对投标项目有特殊资格要求的，还须提供特殊资格证明文件；</w:t>
      </w:r>
    </w:p>
    <w:p w14:paraId="339D3EBD">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3</w:t>
      </w:r>
      <w:r>
        <w:rPr>
          <w:rFonts w:ascii="Times New Roman" w:eastAsia="宋体" w:cs="Times New Roman" w:hAnsiTheme="minorEastAsia"/>
          <w:color w:val="auto"/>
        </w:rPr>
        <w:t>）涉及本须知中</w:t>
      </w:r>
      <w:r>
        <w:rPr>
          <w:rFonts w:ascii="Times New Roman" w:hAnsi="Times New Roman" w:eastAsia="宋体" w:cs="Times New Roman"/>
          <w:color w:val="auto"/>
        </w:rPr>
        <w:t xml:space="preserve">“4. </w:t>
      </w:r>
      <w:r>
        <w:rPr>
          <w:rFonts w:ascii="Times New Roman" w:eastAsia="宋体" w:cs="Times New Roman" w:hAnsiTheme="minorEastAsia"/>
          <w:color w:val="auto"/>
        </w:rPr>
        <w:t>合格的投标人</w:t>
      </w:r>
      <w:r>
        <w:rPr>
          <w:rFonts w:ascii="Times New Roman" w:hAnsi="Times New Roman" w:eastAsia="宋体" w:cs="Times New Roman"/>
          <w:color w:val="auto"/>
        </w:rPr>
        <w:t>”</w:t>
      </w:r>
      <w:r>
        <w:rPr>
          <w:rFonts w:ascii="Times New Roman" w:eastAsia="宋体" w:cs="Times New Roman" w:hAnsiTheme="minorEastAsia"/>
          <w:color w:val="auto"/>
        </w:rPr>
        <w:t>相关要求的，按其要求执行。</w:t>
      </w:r>
    </w:p>
    <w:p w14:paraId="0A1B9818">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18. </w:t>
      </w:r>
      <w:r>
        <w:rPr>
          <w:rFonts w:ascii="Times New Roman" w:eastAsia="宋体" w:cs="Times New Roman" w:hAnsiTheme="minorEastAsia"/>
          <w:color w:val="auto"/>
        </w:rPr>
        <w:t>技术响应文件</w:t>
      </w:r>
    </w:p>
    <w:p w14:paraId="2C2D8A33">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18.1 </w:t>
      </w:r>
      <w:r>
        <w:rPr>
          <w:rFonts w:ascii="Times New Roman" w:eastAsia="宋体" w:cs="Times New Roman" w:hAnsiTheme="minorEastAsia"/>
          <w:color w:val="auto"/>
        </w:rPr>
        <w:t>投标人须提交证明其拟提供的服务符合招标文件规定的技术响应文件，作为投标文件的一部分。</w:t>
      </w:r>
    </w:p>
    <w:p w14:paraId="2B45318F">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18.2 </w:t>
      </w:r>
      <w:r>
        <w:rPr>
          <w:rFonts w:ascii="Times New Roman" w:eastAsia="宋体" w:cs="Times New Roman" w:hAnsiTheme="minorEastAsia"/>
          <w:color w:val="auto"/>
        </w:rPr>
        <w:t>上述技术响应文件可以是文字资料、图纸或数据，</w:t>
      </w:r>
      <w:r>
        <w:rPr>
          <w:rFonts w:ascii="Times New Roman" w:eastAsia="宋体" w:cs="Times New Roman" w:hAnsiTheme="minorEastAsia"/>
          <w:color w:val="auto"/>
          <w:szCs w:val="21"/>
        </w:rPr>
        <w:t>其内容应包括但不限于人力、物力等资源的投入以及服务内容、方式、手段、措施、质量保证及建议等。</w:t>
      </w:r>
    </w:p>
    <w:p w14:paraId="2B690F60">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19. </w:t>
      </w:r>
      <w:r>
        <w:rPr>
          <w:rFonts w:ascii="Times New Roman" w:eastAsia="宋体" w:cs="Times New Roman" w:hAnsiTheme="minorEastAsia"/>
          <w:color w:val="auto"/>
        </w:rPr>
        <w:t>投标保证金</w:t>
      </w:r>
    </w:p>
    <w:p w14:paraId="2A9F6748">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19.1 </w:t>
      </w:r>
      <w:r>
        <w:rPr>
          <w:rFonts w:ascii="Times New Roman" w:eastAsia="宋体" w:cs="Times New Roman" w:hAnsiTheme="minorEastAsia"/>
          <w:color w:val="auto"/>
        </w:rPr>
        <w:t>按照《招标项目要求》要求执行。</w:t>
      </w:r>
    </w:p>
    <w:p w14:paraId="2AF028C6">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19.2 </w:t>
      </w:r>
      <w:r>
        <w:rPr>
          <w:rFonts w:ascii="Times New Roman" w:eastAsia="宋体" w:cs="Times New Roman" w:hAnsiTheme="minorEastAsia"/>
          <w:color w:val="auto"/>
        </w:rPr>
        <w:t>符合《政府采购货物和服务招标投标管理办法》和《政府采购法实施条例》相关规定。</w:t>
      </w:r>
    </w:p>
    <w:p w14:paraId="72EEF510">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20. </w:t>
      </w:r>
      <w:r>
        <w:rPr>
          <w:rFonts w:ascii="Times New Roman" w:eastAsia="宋体" w:cs="Times New Roman" w:hAnsiTheme="minorEastAsia"/>
          <w:color w:val="auto"/>
        </w:rPr>
        <w:t>投标有效期</w:t>
      </w:r>
    </w:p>
    <w:p w14:paraId="64992F2C">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20.1 </w:t>
      </w:r>
      <w:r>
        <w:rPr>
          <w:rFonts w:ascii="Times New Roman" w:eastAsia="宋体" w:cs="Times New Roman" w:hAnsiTheme="minorEastAsia"/>
          <w:color w:val="auto"/>
        </w:rPr>
        <w:t>投标有效期为</w:t>
      </w:r>
      <w:r>
        <w:rPr>
          <w:rFonts w:hint="eastAsia" w:ascii="Times New Roman" w:eastAsia="宋体" w:cs="Times New Roman" w:hAnsiTheme="minorEastAsia"/>
          <w:color w:val="auto"/>
        </w:rPr>
        <w:t>提交投标文件的截止之日</w:t>
      </w:r>
      <w:r>
        <w:rPr>
          <w:rFonts w:ascii="Times New Roman" w:eastAsia="宋体" w:cs="Times New Roman" w:hAnsiTheme="minorEastAsia"/>
          <w:color w:val="auto"/>
        </w:rPr>
        <w:t>起</w:t>
      </w:r>
      <w:r>
        <w:rPr>
          <w:rFonts w:ascii="Times New Roman" w:hAnsi="Times New Roman" w:eastAsia="宋体" w:cs="Times New Roman"/>
          <w:color w:val="auto"/>
        </w:rPr>
        <w:t>60</w:t>
      </w:r>
      <w:r>
        <w:rPr>
          <w:rFonts w:ascii="Times New Roman" w:eastAsia="宋体" w:cs="Times New Roman" w:hAnsiTheme="minorEastAsia"/>
          <w:color w:val="auto"/>
        </w:rPr>
        <w:t>天。投标书中规定的有效期短于招标文件规定的，其投标将被拒绝。</w:t>
      </w:r>
    </w:p>
    <w:p w14:paraId="3DCECC30">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20.2 </w:t>
      </w:r>
      <w:r>
        <w:rPr>
          <w:rFonts w:ascii="Times New Roman" w:eastAsia="宋体" w:cs="Times New Roman" w:hAnsiTheme="minor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64F0F1CA">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w:t>
      </w:r>
      <w:r>
        <w:rPr>
          <w:rFonts w:ascii="Times New Roman" w:eastAsia="宋体" w:cs="Times New Roman" w:hAnsiTheme="minorEastAsia"/>
          <w:color w:val="auto"/>
        </w:rPr>
        <w:t>投标文件的签署及规定</w:t>
      </w:r>
    </w:p>
    <w:p w14:paraId="2C83366C">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21.1 </w:t>
      </w:r>
      <w:r>
        <w:rPr>
          <w:rFonts w:ascii="Times New Roman" w:eastAsia="宋体" w:cs="Times New Roman" w:hAnsiTheme="minor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14:paraId="2F149F17">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21.2 </w:t>
      </w:r>
      <w:r>
        <w:rPr>
          <w:rFonts w:hint="eastAsia" w:ascii="Times New Roman" w:eastAsia="宋体" w:cs="Times New Roman" w:hAnsiTheme="minorEastAsia"/>
          <w:color w:val="auto"/>
        </w:rPr>
        <w:t>投标人按照《投标邀请函》的要求提交网上应答并</w:t>
      </w:r>
      <w:r>
        <w:rPr>
          <w:rFonts w:hint="eastAsia" w:ascii="Times New Roman" w:eastAsia="宋体" w:cs="Times New Roman" w:hAnsiTheme="minorEastAsia"/>
          <w:color w:val="auto"/>
          <w:szCs w:val="32"/>
        </w:rPr>
        <w:t>上传</w:t>
      </w:r>
      <w:r>
        <w:rPr>
          <w:rFonts w:hint="eastAsia" w:ascii="Times New Roman" w:eastAsia="宋体" w:cs="Times New Roman" w:hAnsiTheme="minorEastAsia"/>
          <w:color w:val="auto"/>
        </w:rPr>
        <w:t>加盖投标人电子签章的</w:t>
      </w:r>
      <w:r>
        <w:rPr>
          <w:rFonts w:hint="eastAsia" w:ascii="Times New Roman" w:hAnsi="Times New Roman" w:eastAsia="宋体" w:cs="Times New Roman"/>
          <w:color w:val="auto"/>
        </w:rPr>
        <w:t>PDF</w:t>
      </w:r>
      <w:r>
        <w:rPr>
          <w:rFonts w:hint="eastAsia" w:ascii="Times New Roman" w:eastAsia="宋体" w:cs="Times New Roman" w:hAnsiTheme="minorEastAsia"/>
          <w:color w:val="auto"/>
        </w:rPr>
        <w:t>格式电子投标文件（以通过天津公共资源电子签章客户端正确读取签章信息为准）。</w:t>
      </w:r>
    </w:p>
    <w:p w14:paraId="17CD961E">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21.3 </w:t>
      </w:r>
      <w:r>
        <w:rPr>
          <w:rFonts w:ascii="Times New Roman" w:eastAsia="宋体" w:cs="Times New Roman" w:hAnsiTheme="minorEastAsia"/>
          <w:color w:val="auto"/>
        </w:rPr>
        <w:t>若有修改须于规定时间内重新提交电子投标文件。投标文件因模糊不清或表达不清所引起的后果由投标人自负。</w:t>
      </w:r>
    </w:p>
    <w:p w14:paraId="6D5A9376">
      <w:pPr>
        <w:pStyle w:val="32"/>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 xml:space="preserve">D  </w:t>
      </w:r>
      <w:r>
        <w:rPr>
          <w:rFonts w:ascii="Times New Roman" w:eastAsia="宋体" w:cs="Times New Roman" w:hAnsiTheme="minorEastAsia"/>
          <w:color w:val="auto"/>
        </w:rPr>
        <w:t>投标文件的网上应答和提交</w:t>
      </w:r>
    </w:p>
    <w:p w14:paraId="7E18D481">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22. </w:t>
      </w:r>
      <w:r>
        <w:rPr>
          <w:rFonts w:hint="eastAsia" w:ascii="Times New Roman" w:eastAsia="宋体" w:cs="Times New Roman" w:hAnsiTheme="minorEastAsia"/>
          <w:color w:val="auto"/>
        </w:rPr>
        <w:t>投标人须按《投标邀请函》规定提交网上应答并上传加盖投标人电子签章的</w:t>
      </w:r>
      <w:r>
        <w:rPr>
          <w:rFonts w:hint="eastAsia" w:ascii="Times New Roman" w:hAnsi="Times New Roman" w:eastAsia="宋体" w:cs="Times New Roman"/>
          <w:color w:val="auto"/>
        </w:rPr>
        <w:t>PDF</w:t>
      </w:r>
      <w:r>
        <w:rPr>
          <w:rFonts w:hint="eastAsia" w:ascii="Times New Roman" w:eastAsia="宋体" w:cs="Times New Roman" w:hAnsiTheme="minorEastAsia"/>
          <w:color w:val="auto"/>
        </w:rPr>
        <w:t>格式电子投标文件（以通过天津公共资源电子签章客户端正确读取签章信息为准）。具体方式：</w:t>
      </w:r>
      <w:r>
        <w:rPr>
          <w:rFonts w:ascii="Times New Roman" w:eastAsia="宋体" w:cs="Times New Roman" w:hAnsiTheme="minorEastAsia"/>
          <w:color w:val="auto"/>
        </w:rPr>
        <w:t>使用天津市中环认证服务有限公司发出的CA数字证书（原天津市电子认证中心发出尚在有效期内的CA数字证书仍可使用）登陆</w:t>
      </w:r>
      <w:r>
        <w:rPr>
          <w:rFonts w:hint="eastAsia" w:ascii="Times New Roman" w:eastAsia="宋体" w:cs="Times New Roman" w:hAnsiTheme="minorEastAsia"/>
          <w:color w:val="auto"/>
        </w:rPr>
        <w:t>天津市政府采购中心网（网址：</w:t>
      </w:r>
      <w:r>
        <w:fldChar w:fldCharType="begin"/>
      </w:r>
      <w:r>
        <w:instrText xml:space="preserve"> HYPERLINK "http://tjgpc.cz.tj.gov.cn/" </w:instrText>
      </w:r>
      <w:r>
        <w:fldChar w:fldCharType="separate"/>
      </w:r>
      <w:r>
        <w:rPr>
          <w:rStyle w:val="26"/>
          <w:rFonts w:ascii="Times New Roman" w:hAnsi="Times New Roman" w:eastAsia="宋体" w:cs="Times New Roman"/>
        </w:rPr>
        <w:t>http://tjgpc.zwfwb.tj.gov.cn/</w:t>
      </w:r>
      <w:r>
        <w:rPr>
          <w:rStyle w:val="26"/>
          <w:rFonts w:ascii="Times New Roman" w:hAnsi="Times New Roman" w:eastAsia="宋体" w:cs="Times New Roman"/>
        </w:rPr>
        <w:fldChar w:fldCharType="end"/>
      </w:r>
      <w:r>
        <w:rPr>
          <w:rFonts w:hint="eastAsia" w:ascii="Times New Roman" w:eastAsia="宋体" w:cs="Times New Roman" w:hAnsiTheme="minorEastAsia"/>
          <w:color w:val="auto"/>
        </w:rPr>
        <w:t>）</w:t>
      </w:r>
      <w:r>
        <w:rPr>
          <w:rFonts w:hint="eastAsia" w:ascii="Times New Roman" w:hAnsi="Times New Roman" w:eastAsia="宋体" w:cs="Times New Roman"/>
          <w:color w:val="auto"/>
        </w:rPr>
        <w:t>-“网上招投标”-“供应商登录”-“区级集采机构入口”</w:t>
      </w:r>
      <w:r>
        <w:rPr>
          <w:rFonts w:hint="eastAsia" w:ascii="Times New Roman" w:eastAsia="宋体" w:cs="Times New Roman" w:hAnsiTheme="minorEastAsia"/>
          <w:color w:val="auto"/>
        </w:rPr>
        <w:t>提交网上应答并上传加盖投标人电子签章的</w:t>
      </w:r>
      <w:r>
        <w:rPr>
          <w:rFonts w:hint="eastAsia" w:ascii="Times New Roman" w:hAnsi="Times New Roman" w:eastAsia="宋体" w:cs="Times New Roman"/>
          <w:color w:val="auto"/>
        </w:rPr>
        <w:t>PDF</w:t>
      </w:r>
      <w:r>
        <w:rPr>
          <w:rFonts w:hint="eastAsia" w:ascii="Times New Roman" w:eastAsia="宋体" w:cs="Times New Roman" w:hAnsiTheme="minorEastAsia"/>
          <w:color w:val="auto"/>
        </w:rPr>
        <w:t>格式电子投标文件（以通过天津公共资源电子签章客户端正确读取签章信息为准）。如有需要，投标人可于工作时间且在招标文件规定的截止时间前到天津市河东区红星路</w:t>
      </w:r>
      <w:r>
        <w:rPr>
          <w:rFonts w:hint="eastAsia" w:ascii="Times New Roman" w:hAnsi="Times New Roman" w:eastAsia="宋体" w:cs="Times New Roman"/>
          <w:color w:val="auto"/>
        </w:rPr>
        <w:t>79</w:t>
      </w:r>
      <w:r>
        <w:rPr>
          <w:rFonts w:hint="eastAsia" w:ascii="Times New Roman" w:eastAsia="宋体" w:cs="Times New Roman" w:hAnsiTheme="minorEastAsia"/>
          <w:color w:val="auto"/>
        </w:rPr>
        <w:t>号天津市政府采购中心窗口完成上述操作。</w:t>
      </w:r>
    </w:p>
    <w:p w14:paraId="68D13D69">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23. </w:t>
      </w:r>
      <w:r>
        <w:rPr>
          <w:rFonts w:hint="eastAsia" w:ascii="Times New Roman" w:eastAsia="宋体" w:cs="Times New Roman" w:hAnsiTheme="minorEastAsia"/>
          <w:color w:val="auto"/>
        </w:rPr>
        <w:t>制作和上传电子投标文件要求</w:t>
      </w:r>
    </w:p>
    <w:p w14:paraId="4EE71905">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23.1 </w:t>
      </w:r>
      <w:r>
        <w:rPr>
          <w:rFonts w:hint="eastAsia" w:ascii="Times New Roman" w:eastAsia="宋体" w:cs="Times New Roman" w:hAnsiTheme="minorEastAsia"/>
          <w:color w:val="auto"/>
        </w:rPr>
        <w:t>投标人须下载天津市政府采购中心网</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下载中心</w:t>
      </w:r>
      <w:r>
        <w:rPr>
          <w:rFonts w:hint="eastAsia" w:ascii="Times New Roman" w:hAnsi="Times New Roman" w:eastAsia="宋体" w:cs="Times New Roman"/>
          <w:color w:val="auto"/>
        </w:rPr>
        <w:t>-</w:t>
      </w:r>
      <w:r>
        <w:rPr>
          <w:rFonts w:hint="eastAsia" w:ascii="Times New Roman" w:eastAsia="宋体" w:cs="Times New Roman" w:hAnsiTheme="minorEastAsia"/>
          <w:color w:val="auto"/>
        </w:rPr>
        <w:t>《远程招投标电子签章客户端用户使用说明及安装程序》。</w:t>
      </w:r>
    </w:p>
    <w:p w14:paraId="6ADD9A11">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23.2 </w:t>
      </w:r>
      <w:r>
        <w:rPr>
          <w:rFonts w:hint="eastAsia" w:ascii="Times New Roman" w:eastAsia="宋体" w:cs="Times New Roman" w:hAnsiTheme="minor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Pr>
          <w:rFonts w:hint="eastAsia" w:ascii="Times New Roman" w:hAnsi="Times New Roman" w:eastAsia="宋体" w:cs="Times New Roman"/>
          <w:color w:val="auto"/>
        </w:rPr>
        <w:t>PDF</w:t>
      </w:r>
      <w:r>
        <w:rPr>
          <w:rFonts w:hint="eastAsia" w:ascii="Times New Roman" w:eastAsia="宋体" w:cs="Times New Roman" w:hAnsiTheme="minorEastAsia"/>
          <w:color w:val="auto"/>
        </w:rPr>
        <w:t>格式电子投标文件（以通过天津公共资源电子签章客户端正确读取签章信息为准），并于投标截止时间前上传至天津市政府采购中心招投标系统。</w:t>
      </w:r>
    </w:p>
    <w:p w14:paraId="3003B4AD">
      <w:pPr>
        <w:pStyle w:val="32"/>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特别提醒：</w:t>
      </w:r>
    </w:p>
    <w:p w14:paraId="2B3CE29D">
      <w:pPr>
        <w:pStyle w:val="32"/>
        <w:spacing w:line="360" w:lineRule="auto"/>
        <w:ind w:firstLine="448" w:firstLineChars="200"/>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14:paraId="1C8E4881">
      <w:pPr>
        <w:pStyle w:val="32"/>
        <w:spacing w:line="360" w:lineRule="auto"/>
        <w:ind w:firstLine="448" w:firstLineChars="200"/>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7681AB5E">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23.3 </w:t>
      </w:r>
      <w:r>
        <w:rPr>
          <w:rFonts w:hint="eastAsia" w:ascii="Times New Roman" w:eastAsia="宋体" w:cs="Times New Roman" w:hAnsiTheme="minorEastAsia"/>
          <w:color w:val="auto"/>
        </w:rPr>
        <w:t>投标人须保证电子投标文件清晰，便于识别，如因上传、扫描、格式等原因导致评审时受到影响，由投标人自行承担相应责任。</w:t>
      </w:r>
    </w:p>
    <w:p w14:paraId="6AC25926">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 xml:space="preserve">24. </w:t>
      </w:r>
      <w:r>
        <w:rPr>
          <w:rFonts w:ascii="Times New Roman" w:eastAsia="宋体" w:cs="Times New Roman" w:hAnsiTheme="minorEastAsia"/>
          <w:color w:val="auto"/>
        </w:rPr>
        <w:t>投标人须承诺接受电子投标的方式，并自行承担由此带来的废标、无效投标的风险。</w:t>
      </w:r>
    </w:p>
    <w:p w14:paraId="2F6E3F3B">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25. </w:t>
      </w:r>
      <w:r>
        <w:rPr>
          <w:rFonts w:hint="eastAsia" w:ascii="Times New Roman" w:eastAsia="宋体" w:cs="Times New Roman" w:hAnsiTheme="minorEastAsia"/>
          <w:color w:val="auto"/>
        </w:rPr>
        <w:t>未按招标文件的规定提交网上应答和上传加盖投标人电子签章的</w:t>
      </w:r>
      <w:r>
        <w:rPr>
          <w:rFonts w:hint="eastAsia" w:ascii="Times New Roman" w:hAnsi="Times New Roman" w:eastAsia="宋体" w:cs="Times New Roman"/>
          <w:color w:val="auto"/>
        </w:rPr>
        <w:t>PDF</w:t>
      </w:r>
      <w:r>
        <w:rPr>
          <w:rFonts w:hint="eastAsia" w:ascii="Times New Roman" w:eastAsia="宋体" w:cs="Times New Roman" w:hAnsiTheme="minorEastAsia"/>
          <w:color w:val="auto"/>
        </w:rPr>
        <w:t>格式电子投标文件（以通过天津公共资源电子签章客户端正确读取签章信息为准）的投标将被拒绝。</w:t>
      </w:r>
    </w:p>
    <w:p w14:paraId="50C15010">
      <w:pPr>
        <w:pStyle w:val="32"/>
        <w:spacing w:line="360" w:lineRule="auto"/>
        <w:ind w:firstLine="448" w:firstLineChars="200"/>
        <w:jc w:val="both"/>
        <w:rPr>
          <w:rFonts w:ascii="Times New Roman" w:hAnsi="Times New Roman" w:eastAsia="宋体" w:cs="Times New Roman"/>
          <w:color w:val="auto"/>
        </w:rPr>
      </w:pPr>
    </w:p>
    <w:p w14:paraId="20C35786">
      <w:pPr>
        <w:pStyle w:val="32"/>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 xml:space="preserve">E  </w:t>
      </w:r>
      <w:r>
        <w:rPr>
          <w:rFonts w:ascii="Times New Roman" w:eastAsia="宋体" w:cs="Times New Roman" w:hAnsiTheme="minorEastAsia"/>
          <w:color w:val="auto"/>
        </w:rPr>
        <w:t>开标和评标</w:t>
      </w:r>
    </w:p>
    <w:p w14:paraId="03CE54C1">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26. </w:t>
      </w:r>
      <w:r>
        <w:rPr>
          <w:rFonts w:hint="eastAsia" w:ascii="Times New Roman" w:eastAsia="宋体" w:cs="Times New Roman" w:hAnsiTheme="minorEastAsia"/>
          <w:color w:val="auto"/>
        </w:rPr>
        <w:t>开标解密和资格审查</w:t>
      </w:r>
    </w:p>
    <w:p w14:paraId="15132856">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26.1 </w:t>
      </w:r>
      <w:r>
        <w:rPr>
          <w:rFonts w:hint="eastAsia" w:ascii="Times New Roman" w:eastAsia="宋体" w:cs="Times New Roman" w:hAnsiTheme="minorEastAsia"/>
          <w:color w:val="auto"/>
        </w:rPr>
        <w:t>投标人须于《投标邀请函》中规定的时间内使用天津市中环认证服务有限公司发出的CA数字证书（原天津市电子认证中心发出尚在有效期内的CA数字证书仍可使用）登陆天津市政府采购中心网（网址：</w:t>
      </w:r>
      <w:r>
        <w:fldChar w:fldCharType="begin"/>
      </w:r>
      <w:r>
        <w:instrText xml:space="preserve"> HYPERLINK "http://tjgpc.cz.tj.gov.cn/" </w:instrText>
      </w:r>
      <w:r>
        <w:fldChar w:fldCharType="separate"/>
      </w:r>
      <w:r>
        <w:rPr>
          <w:rStyle w:val="26"/>
          <w:rFonts w:ascii="Times New Roman" w:hAnsi="Times New Roman" w:eastAsia="宋体" w:cs="Times New Roman"/>
        </w:rPr>
        <w:t>http://tjgpc.zwfwb.tj.gov.cn/</w:t>
      </w:r>
      <w:r>
        <w:rPr>
          <w:rStyle w:val="26"/>
          <w:rFonts w:ascii="Times New Roman" w:hAnsi="Times New Roman" w:eastAsia="宋体" w:cs="Times New Roman"/>
        </w:rPr>
        <w:fldChar w:fldCharType="end"/>
      </w:r>
      <w:r>
        <w:rPr>
          <w:rFonts w:hint="eastAsia" w:ascii="Times New Roman" w:eastAsia="宋体" w:cs="Times New Roman" w:hAnsiTheme="minorEastAsia"/>
          <w:color w:val="auto"/>
        </w:rPr>
        <w:t>）</w:t>
      </w:r>
      <w:r>
        <w:rPr>
          <w:rFonts w:hint="eastAsia" w:ascii="Times New Roman" w:hAnsi="Times New Roman" w:eastAsia="宋体" w:cs="Times New Roman"/>
          <w:color w:val="auto"/>
        </w:rPr>
        <w:t>-“网上招投标”-“供应商登录”-“区级集采机构入口”</w:t>
      </w:r>
      <w:r>
        <w:rPr>
          <w:rFonts w:hint="eastAsia" w:ascii="Times New Roman" w:eastAsia="宋体" w:cs="Times New Roman" w:hAnsiTheme="minorEastAsia"/>
          <w:color w:val="auto"/>
        </w:rPr>
        <w:t>完成开标解密。</w:t>
      </w:r>
    </w:p>
    <w:p w14:paraId="0BCD2C51">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26.2 </w:t>
      </w:r>
      <w:r>
        <w:rPr>
          <w:rFonts w:ascii="Times New Roman" w:eastAsia="宋体" w:cs="Times New Roman" w:hAnsiTheme="minorEastAsia"/>
          <w:color w:val="auto"/>
        </w:rPr>
        <w:t>由于投标人原因，没有在规定时间内进行网上开标解密，视为无效投标。</w:t>
      </w:r>
    </w:p>
    <w:p w14:paraId="4B9BAFA5">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26.3 </w:t>
      </w:r>
      <w:r>
        <w:rPr>
          <w:rFonts w:ascii="Times New Roman" w:eastAsia="宋体" w:cs="Times New Roman" w:hAnsiTheme="minorEastAsia"/>
          <w:color w:val="auto"/>
        </w:rPr>
        <w:t>开标解密后，对开标结果进行网上公示，投标人报价为空、为零的将被视为无效投标。</w:t>
      </w:r>
    </w:p>
    <w:p w14:paraId="0E635A3B">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26.4 </w:t>
      </w:r>
      <w:r>
        <w:rPr>
          <w:rFonts w:ascii="Times New Roman" w:eastAsia="宋体" w:cs="Times New Roman" w:hAnsiTheme="minorEastAsia"/>
          <w:color w:val="auto"/>
        </w:rPr>
        <w:t>开标解密后，投标代表人应保持电话畅通并具备相应的网络环境，随时准备接受评委的网上询标。</w:t>
      </w:r>
    </w:p>
    <w:p w14:paraId="668684CA">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26.5 </w:t>
      </w:r>
      <w:r>
        <w:rPr>
          <w:rFonts w:ascii="Times New Roman" w:eastAsia="宋体" w:cs="Times New Roman" w:hAnsiTheme="minorEastAsia"/>
          <w:color w:val="auto"/>
        </w:rPr>
        <w:t>投标人须于规定时间内通过天津市政府采购中心招投标系统</w:t>
      </w:r>
      <w:r>
        <w:rPr>
          <w:rFonts w:ascii="Times New Roman" w:hAnsi="Times New Roman" w:eastAsia="宋体" w:cs="Times New Roman"/>
          <w:color w:val="auto"/>
        </w:rPr>
        <w:t>“</w:t>
      </w:r>
      <w:r>
        <w:rPr>
          <w:rFonts w:ascii="Times New Roman" w:eastAsia="宋体" w:cs="Times New Roman" w:hAnsiTheme="minorEastAsia"/>
          <w:color w:val="auto"/>
        </w:rPr>
        <w:t>询标解答</w:t>
      </w:r>
      <w:r>
        <w:rPr>
          <w:rFonts w:ascii="Times New Roman" w:hAnsi="Times New Roman" w:eastAsia="宋体" w:cs="Times New Roman"/>
          <w:color w:val="auto"/>
        </w:rPr>
        <w:t>”</w:t>
      </w:r>
      <w:r>
        <w:rPr>
          <w:rFonts w:ascii="Times New Roman" w:eastAsia="宋体" w:cs="Times New Roman" w:hAnsiTheme="minorEastAsia"/>
          <w:color w:val="auto"/>
        </w:rPr>
        <w:t>对评委的网上询标予以解答。如投标代表人被要求到评审现场答疑时，须携带身份证等有效证件原件，以备查验。</w:t>
      </w:r>
    </w:p>
    <w:p w14:paraId="2B85BD58">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26.6 </w:t>
      </w:r>
      <w:r>
        <w:rPr>
          <w:rFonts w:hint="eastAsia" w:ascii="Times New Roman" w:eastAsia="宋体" w:cs="Times New Roman" w:hAnsiTheme="minorEastAsia"/>
          <w:color w:val="auto"/>
        </w:rPr>
        <w:t>投标截止时间后，投标人不足</w:t>
      </w:r>
      <w:r>
        <w:rPr>
          <w:rFonts w:hint="eastAsia" w:ascii="Times New Roman" w:hAnsi="Times New Roman" w:eastAsia="宋体" w:cs="Times New Roman"/>
          <w:color w:val="auto"/>
        </w:rPr>
        <w:t>3</w:t>
      </w:r>
      <w:r>
        <w:rPr>
          <w:rFonts w:hint="eastAsia" w:ascii="Times New Roman" w:eastAsia="宋体" w:cs="Times New Roman" w:hAnsiTheme="minorEastAsia"/>
          <w:color w:val="auto"/>
        </w:rPr>
        <w:t>家的，不得开标。</w:t>
      </w:r>
    </w:p>
    <w:p w14:paraId="2FD1D885">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26.7 </w:t>
      </w:r>
      <w:r>
        <w:rPr>
          <w:rFonts w:hint="eastAsia" w:ascii="Times New Roman" w:eastAsia="宋体" w:cs="Times New Roman" w:hAnsiTheme="minorEastAsia"/>
          <w:color w:val="auto"/>
        </w:rPr>
        <w:t>开标解密后，采购人或采购代理机构应当依法对投标人的资格进行审查。资格审查合格的投标人不足</w:t>
      </w:r>
      <w:r>
        <w:rPr>
          <w:rFonts w:hint="eastAsia" w:ascii="Times New Roman" w:hAnsi="Times New Roman" w:eastAsia="宋体" w:cs="Times New Roman"/>
          <w:color w:val="auto"/>
        </w:rPr>
        <w:t>3</w:t>
      </w:r>
      <w:r>
        <w:rPr>
          <w:rFonts w:hint="eastAsia" w:ascii="Times New Roman" w:eastAsia="宋体" w:cs="Times New Roman" w:hAnsiTheme="minorEastAsia"/>
          <w:color w:val="auto"/>
        </w:rPr>
        <w:t>家的，不得评标。</w:t>
      </w:r>
    </w:p>
    <w:p w14:paraId="3D2E51B6">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27. </w:t>
      </w:r>
      <w:r>
        <w:rPr>
          <w:rFonts w:ascii="Times New Roman" w:eastAsia="宋体" w:cs="Times New Roman" w:hAnsiTheme="minorEastAsia"/>
          <w:color w:val="auto"/>
        </w:rPr>
        <w:t>评标委员会</w:t>
      </w:r>
    </w:p>
    <w:p w14:paraId="4F72D3EF">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27.1 </w:t>
      </w:r>
      <w:r>
        <w:rPr>
          <w:rFonts w:hint="eastAsia" w:ascii="Times New Roman" w:eastAsia="宋体" w:cs="Times New Roman" w:hAnsiTheme="minorEastAsia"/>
          <w:color w:val="auto"/>
        </w:rPr>
        <w:t>评标委员会成员由采购人代表和评审专家组成，成员人数应当为</w:t>
      </w:r>
      <w:r>
        <w:rPr>
          <w:rFonts w:hint="eastAsia" w:ascii="Times New Roman" w:hAnsi="Times New Roman" w:eastAsia="宋体" w:cs="Times New Roman"/>
          <w:color w:val="auto"/>
        </w:rPr>
        <w:t>5</w:t>
      </w:r>
      <w:r>
        <w:rPr>
          <w:rFonts w:hint="eastAsia" w:ascii="Times New Roman" w:eastAsia="宋体" w:cs="Times New Roman" w:hAnsiTheme="minorEastAsia"/>
          <w:color w:val="auto"/>
        </w:rPr>
        <w:t>人以上单数，其中评审专家不得少于成员总数的三分之二。</w:t>
      </w:r>
    </w:p>
    <w:p w14:paraId="0B59904B">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27.2 </w:t>
      </w:r>
      <w:r>
        <w:rPr>
          <w:rFonts w:hint="eastAsia" w:ascii="Times New Roman" w:eastAsia="宋体" w:cs="Times New Roman" w:hAnsiTheme="minorEastAsia"/>
          <w:color w:val="auto"/>
        </w:rPr>
        <w:t>评标委员会负责审查投标文件是否符合招标文件的要求，并进行审查、询标、评估和比较。评标委员会认为必要时，可向投标人进行询标。</w:t>
      </w:r>
    </w:p>
    <w:p w14:paraId="49B3ABFB">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27.3 </w:t>
      </w:r>
      <w:r>
        <w:rPr>
          <w:rFonts w:hint="eastAsia" w:ascii="Times New Roman" w:eastAsia="宋体" w:cs="Times New Roman" w:hAnsiTheme="minor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381A4282">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27.4 </w:t>
      </w:r>
      <w:r>
        <w:rPr>
          <w:rFonts w:hint="eastAsia" w:ascii="Times New Roman" w:eastAsia="宋体" w:cs="Times New Roman" w:hAnsiTheme="minorEastAsia"/>
          <w:color w:val="auto"/>
        </w:rPr>
        <w:t>评标委员会负责完成全部评标工作，向采购人提出经评标委员会签字的书面评标报告。</w:t>
      </w:r>
    </w:p>
    <w:p w14:paraId="7E59B693">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28. </w:t>
      </w:r>
      <w:r>
        <w:rPr>
          <w:rFonts w:ascii="Times New Roman" w:eastAsia="宋体" w:cs="Times New Roman" w:hAnsiTheme="minorEastAsia"/>
          <w:color w:val="auto"/>
        </w:rPr>
        <w:t>对投标文件的审查和响应性的确定</w:t>
      </w:r>
    </w:p>
    <w:p w14:paraId="3281B8C5">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28.1 </w:t>
      </w:r>
      <w:r>
        <w:rPr>
          <w:rFonts w:hint="eastAsia" w:ascii="Times New Roman" w:eastAsia="宋体" w:cs="Times New Roman" w:hAnsiTheme="minor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2BE10FBF">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28.2 </w:t>
      </w:r>
      <w:r>
        <w:rPr>
          <w:rFonts w:hint="eastAsia" w:ascii="Times New Roman" w:eastAsia="宋体" w:cs="Times New Roman" w:hAnsiTheme="minorEastAsia"/>
          <w:color w:val="auto"/>
        </w:rPr>
        <w:t>投标截止时间后，除评标委员会要求提供外，不接受投标人及与投标人有关的任何一方递交的材料。</w:t>
      </w:r>
    </w:p>
    <w:p w14:paraId="7F557359">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eastAsia="宋体" w:cs="Times New Roman" w:hAnsiTheme="minorEastAsia"/>
          <w:color w:val="auto"/>
        </w:rPr>
        <w:t>实质上没有响应招标文件要求的投标文件，将被拒绝。投标人不得通过修改或撤回不符合要求的重大偏离而使其投标成为响应性的投标。如出现下列情况之一的，其投标将被拒绝或中标无效：</w:t>
      </w:r>
    </w:p>
    <w:p w14:paraId="5A34BCBD">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1</w:t>
      </w:r>
      <w:r>
        <w:rPr>
          <w:rFonts w:ascii="Times New Roman" w:eastAsia="宋体" w:cs="Times New Roman" w:hAnsiTheme="minorEastAsia"/>
          <w:color w:val="auto"/>
        </w:rPr>
        <w:t>）投标文件未按招标文件的要求加盖电子签章的；</w:t>
      </w:r>
    </w:p>
    <w:p w14:paraId="1142183E">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2</w:t>
      </w:r>
      <w:r>
        <w:rPr>
          <w:rFonts w:ascii="Times New Roman" w:eastAsia="宋体" w:cs="Times New Roman" w:hAnsiTheme="minorEastAsia"/>
          <w:color w:val="auto"/>
        </w:rPr>
        <w:t>）投标有效期短于招标文件要求的；</w:t>
      </w:r>
    </w:p>
    <w:p w14:paraId="0A14AD61">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3</w:t>
      </w:r>
      <w:r>
        <w:rPr>
          <w:rFonts w:ascii="Times New Roman" w:eastAsia="宋体" w:cs="Times New Roman" w:hAnsiTheme="minorEastAsia"/>
          <w:color w:val="auto"/>
        </w:rPr>
        <w:t>）投标文件中提供虚假或失实资料的；</w:t>
      </w:r>
    </w:p>
    <w:p w14:paraId="79C589F9">
      <w:pPr>
        <w:pStyle w:val="32"/>
        <w:spacing w:line="360" w:lineRule="auto"/>
        <w:ind w:firstLine="448" w:firstLineChars="200"/>
        <w:rPr>
          <w:rFonts w:ascii="Times New Roman" w:eastAsia="宋体" w:cs="Times New Roman" w:hAnsiTheme="minorEastAsia"/>
          <w:color w:val="auto"/>
        </w:rPr>
      </w:pPr>
      <w:r>
        <w:rPr>
          <w:rFonts w:hint="eastAsia" w:ascii="Times New Roman" w:eastAsia="宋体" w:cs="Times New Roman" w:hAnsiTheme="minorEastAsia"/>
          <w:color w:val="auto"/>
        </w:rPr>
        <w:t>（4）不能满足招标文件中任何一条实质性要求或加注“★”号条款出现负偏离或经评标委员会认定未实质性响应招标文件要求的或投标内容不符合相关强制性规定的；</w:t>
      </w:r>
    </w:p>
    <w:p w14:paraId="0B62C0D2">
      <w:pPr>
        <w:pStyle w:val="32"/>
        <w:spacing w:line="360" w:lineRule="auto"/>
        <w:ind w:firstLine="448" w:firstLineChars="200"/>
        <w:rPr>
          <w:rFonts w:ascii="Times New Roman" w:eastAsia="宋体" w:cs="Times New Roman" w:hAnsiTheme="minorEastAsia"/>
          <w:color w:val="auto"/>
        </w:rPr>
      </w:pPr>
      <w:r>
        <w:rPr>
          <w:rFonts w:hint="eastAsia" w:ascii="Times New Roman" w:eastAsia="宋体" w:cs="Times New Roman" w:hAnsiTheme="minorEastAsia"/>
          <w:color w:val="auto"/>
        </w:rPr>
        <w:t>（5）未按时进行网上解密或电子投标文件损坏、无效的；</w:t>
      </w:r>
    </w:p>
    <w:p w14:paraId="15FDD3B0">
      <w:pPr>
        <w:pStyle w:val="32"/>
        <w:spacing w:line="360" w:lineRule="auto"/>
        <w:ind w:firstLine="448" w:firstLineChars="200"/>
        <w:rPr>
          <w:rFonts w:ascii="Times New Roman" w:eastAsia="宋体" w:cs="Times New Roman" w:hAnsiTheme="minorEastAsia"/>
          <w:color w:val="auto"/>
        </w:rPr>
      </w:pPr>
      <w:r>
        <w:rPr>
          <w:rFonts w:hint="eastAsia" w:ascii="Times New Roman" w:eastAsia="宋体" w:cs="Times New Roman" w:hAnsiTheme="minorEastAsia"/>
          <w:color w:val="auto"/>
        </w:rPr>
        <w:t>（6）投标报价超出采购预算或最高限价；</w:t>
      </w:r>
    </w:p>
    <w:p w14:paraId="5EDA3C0C">
      <w:pPr>
        <w:pStyle w:val="32"/>
        <w:spacing w:line="360" w:lineRule="auto"/>
        <w:ind w:firstLine="448" w:firstLineChars="200"/>
        <w:rPr>
          <w:rFonts w:ascii="Times New Roman" w:eastAsia="宋体" w:cs="Times New Roman" w:hAnsiTheme="minorEastAsia"/>
          <w:color w:val="auto"/>
        </w:rPr>
      </w:pPr>
      <w:r>
        <w:rPr>
          <w:rFonts w:hint="eastAsia" w:ascii="Times New Roman" w:eastAsia="宋体" w:cs="Times New Roman" w:hAnsiTheme="minorEastAsia"/>
          <w:color w:val="auto"/>
        </w:rPr>
        <w:t>（7）存在串通情形的；</w:t>
      </w:r>
    </w:p>
    <w:p w14:paraId="4F9E63D7">
      <w:pPr>
        <w:pStyle w:val="32"/>
        <w:spacing w:line="360" w:lineRule="auto"/>
        <w:ind w:firstLine="448" w:firstLineChars="200"/>
        <w:rPr>
          <w:rFonts w:ascii="Times New Roman" w:eastAsia="宋体" w:cs="Times New Roman" w:hAnsiTheme="minorEastAsia"/>
          <w:color w:val="auto"/>
        </w:rPr>
      </w:pPr>
      <w:r>
        <w:rPr>
          <w:rFonts w:hint="eastAsia" w:ascii="Times New Roman" w:eastAsia="宋体" w:cs="Times New Roman" w:hAnsiTheme="minorEastAsia"/>
          <w:color w:val="auto"/>
        </w:rPr>
        <w:t>（8）单位负责人或法定代表人为同一人，或者存在控股、管理关系的不同供应商，参加同一包或者未划分包的同一项目投标的，相关投标均无效；</w:t>
      </w:r>
    </w:p>
    <w:p w14:paraId="0A2F5D67">
      <w:pPr>
        <w:pStyle w:val="32"/>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（9）其他法定投标无效的情形。</w:t>
      </w:r>
    </w:p>
    <w:p w14:paraId="6B64033D">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28.4 </w:t>
      </w:r>
      <w:r>
        <w:rPr>
          <w:rFonts w:hint="eastAsia" w:ascii="Times New Roman" w:eastAsia="宋体" w:cs="Times New Roman" w:hAnsiTheme="minorEastAsia"/>
          <w:color w:val="auto"/>
        </w:rPr>
        <w:t>评标委员会对确定为实质上响应的投标进行审核，</w:t>
      </w:r>
      <w:r>
        <w:rPr>
          <w:rFonts w:ascii="Times New Roman" w:eastAsia="宋体" w:cs="Times New Roman" w:hAnsiTheme="minorEastAsia"/>
          <w:color w:val="auto"/>
        </w:rPr>
        <w:t>投标文件报价出现前后不一致的</w:t>
      </w:r>
      <w:r>
        <w:rPr>
          <w:rFonts w:hint="eastAsia" w:ascii="Times New Roman" w:eastAsia="宋体" w:cs="Times New Roman" w:hAnsiTheme="minorEastAsia"/>
          <w:color w:val="auto"/>
        </w:rPr>
        <w:t>，修改错误的原则如下：</w:t>
      </w:r>
    </w:p>
    <w:p w14:paraId="5B0B97CF">
      <w:pPr>
        <w:pStyle w:val="32"/>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1</w:t>
      </w:r>
      <w:r>
        <w:rPr>
          <w:rFonts w:hint="eastAsia" w:ascii="Times New Roman" w:eastAsia="宋体" w:cs="Times New Roman" w:hAnsiTheme="minorEastAsia"/>
          <w:color w:val="auto"/>
        </w:rPr>
        <w:t>）投标文件中开标一览表（报价表）内容与投标文件中相应内容不一致的，以开标一览表（报价表）为准；</w:t>
      </w:r>
    </w:p>
    <w:p w14:paraId="106D3426">
      <w:pPr>
        <w:pStyle w:val="32"/>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2</w:t>
      </w:r>
      <w:r>
        <w:rPr>
          <w:rFonts w:hint="eastAsia" w:ascii="Times New Roman" w:eastAsia="宋体" w:cs="Times New Roman" w:hAnsiTheme="minorEastAsia"/>
          <w:color w:val="auto"/>
        </w:rPr>
        <w:t>）大写金额和小写金额不一致的，以大写金额为准；</w:t>
      </w:r>
    </w:p>
    <w:p w14:paraId="449EB532">
      <w:pPr>
        <w:pStyle w:val="32"/>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3</w:t>
      </w:r>
      <w:r>
        <w:rPr>
          <w:rFonts w:hint="eastAsia" w:ascii="Times New Roman" w:eastAsia="宋体" w:cs="Times New Roman" w:hAnsiTheme="minorEastAsia"/>
          <w:color w:val="auto"/>
        </w:rPr>
        <w:t>）单价金额小数点或者百分比有明显错位的，以开标一览表的总价为准，并修改单价；</w:t>
      </w:r>
    </w:p>
    <w:p w14:paraId="7A0BD0D1">
      <w:pPr>
        <w:pStyle w:val="32"/>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4</w:t>
      </w:r>
      <w:r>
        <w:rPr>
          <w:rFonts w:hint="eastAsia" w:ascii="Times New Roman" w:eastAsia="宋体" w:cs="Times New Roman" w:hAnsiTheme="minorEastAsia"/>
          <w:color w:val="auto"/>
        </w:rPr>
        <w:t>）总价金额与按单价汇总金额不一致的，以单价金额计算结果为准。</w:t>
      </w:r>
    </w:p>
    <w:p w14:paraId="49A8B880">
      <w:pPr>
        <w:pStyle w:val="32"/>
        <w:spacing w:line="360" w:lineRule="auto"/>
        <w:ind w:firstLine="448" w:firstLineChars="200"/>
        <w:jc w:val="both"/>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5</w:t>
      </w:r>
      <w:r>
        <w:rPr>
          <w:rFonts w:hint="eastAsia" w:ascii="Times New Roman" w:eastAsia="宋体" w:cs="Times New Roman" w:hAnsiTheme="minorEastAsia"/>
          <w:color w:val="auto"/>
        </w:rPr>
        <w:t>）同时出现两种以上不一致的，按照前款规定的顺序修正。修正后的报价经投标人确认后产生约束力，投标人不确认的，其投标无效。</w:t>
      </w:r>
    </w:p>
    <w:p w14:paraId="5E6B2C6E">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 xml:space="preserve">5 </w:t>
      </w:r>
      <w:r>
        <w:rPr>
          <w:rFonts w:ascii="Times New Roman" w:eastAsia="宋体" w:cs="Times New Roman" w:hAnsiTheme="minorEastAsia"/>
          <w:color w:val="auto"/>
        </w:rPr>
        <w:t>评标委员会将要求投标人按上述修改错误的方法调整投标报价，投标人同意后，调整后的报价对投标人起约束作用。如果投标人不接受修改后的报价，其投标将被拒绝。</w:t>
      </w:r>
    </w:p>
    <w:p w14:paraId="5D6D26B7">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29. </w:t>
      </w:r>
      <w:r>
        <w:rPr>
          <w:rFonts w:ascii="Times New Roman" w:eastAsia="宋体" w:cs="Times New Roman" w:hAnsiTheme="minorEastAsia"/>
          <w:color w:val="auto"/>
        </w:rPr>
        <w:t>投标文件的澄清</w:t>
      </w:r>
    </w:p>
    <w:p w14:paraId="071799F0">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29.1 </w:t>
      </w:r>
      <w:r>
        <w:rPr>
          <w:rFonts w:ascii="Times New Roman" w:eastAsia="宋体" w:cs="Times New Roman" w:hAnsiTheme="minor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0D571294">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 xml:space="preserve">29.2 </w:t>
      </w:r>
      <w:r>
        <w:rPr>
          <w:rFonts w:ascii="Times New Roman" w:eastAsia="宋体" w:cs="Times New Roman" w:hAnsiTheme="minorEastAsia"/>
          <w:color w:val="auto"/>
        </w:rPr>
        <w:t>投标人澄清、说明、答复或者补充的内容须为</w:t>
      </w:r>
      <w:r>
        <w:rPr>
          <w:rFonts w:ascii="Times New Roman" w:hAnsi="Times New Roman" w:eastAsia="宋体" w:cs="Times New Roman"/>
          <w:color w:val="auto"/>
        </w:rPr>
        <w:t>PDF</w:t>
      </w:r>
      <w:r>
        <w:rPr>
          <w:rFonts w:ascii="Times New Roman" w:eastAsia="宋体" w:cs="Times New Roman" w:hAnsiTheme="minorEastAsia"/>
          <w:color w:val="auto"/>
        </w:rPr>
        <w:t>格式并加盖电子签章后上传至天津市政府采购中心招投标系统。</w:t>
      </w:r>
    </w:p>
    <w:p w14:paraId="017CEC26">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29.3 </w:t>
      </w:r>
      <w:r>
        <w:rPr>
          <w:rFonts w:ascii="Times New Roman" w:eastAsia="宋体" w:cs="Times New Roman" w:hAnsiTheme="minorEastAsia"/>
          <w:color w:val="auto"/>
        </w:rPr>
        <w:t>投标人的澄清、说明、答复或者补充应在规定的时间内完成，并不得超出投标文件的范围或对投标内容进行实质性的修改。</w:t>
      </w:r>
    </w:p>
    <w:p w14:paraId="6B3D651C">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29.4 </w:t>
      </w:r>
      <w:r>
        <w:rPr>
          <w:rFonts w:ascii="Times New Roman" w:eastAsia="宋体" w:cs="Times New Roman" w:hAnsiTheme="minorEastAsia"/>
          <w:color w:val="auto"/>
        </w:rPr>
        <w:t>澄清文件将作为投标文件的一部分，与投标文件具有同等的法律效力。</w:t>
      </w:r>
    </w:p>
    <w:p w14:paraId="5CC22CAC">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30. </w:t>
      </w:r>
      <w:r>
        <w:rPr>
          <w:rFonts w:ascii="Times New Roman" w:eastAsia="宋体" w:cs="Times New Roman" w:hAnsiTheme="minorEastAsia"/>
          <w:color w:val="auto"/>
        </w:rPr>
        <w:t>投标的评估和比较</w:t>
      </w:r>
    </w:p>
    <w:p w14:paraId="07CF0C7E">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评标委员会将根据招标文件确定的评标原则和评标方法对确定为实质上响应招标文件要求的投标进行评估和比较。</w:t>
      </w:r>
    </w:p>
    <w:p w14:paraId="346B1B2F">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31. </w:t>
      </w:r>
      <w:r>
        <w:rPr>
          <w:rFonts w:ascii="Times New Roman" w:eastAsia="宋体" w:cs="Times New Roman" w:hAnsiTheme="minorEastAsia"/>
          <w:color w:val="auto"/>
        </w:rPr>
        <w:t>评标原则和评标方法</w:t>
      </w:r>
    </w:p>
    <w:p w14:paraId="08AD8976">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31.1 </w:t>
      </w:r>
      <w:r>
        <w:rPr>
          <w:rFonts w:ascii="Times New Roman" w:eastAsia="宋体" w:cs="Times New Roman" w:hAnsiTheme="minorEastAsia"/>
          <w:color w:val="auto"/>
        </w:rPr>
        <w:t>评标原则</w:t>
      </w:r>
    </w:p>
    <w:p w14:paraId="6CBD9AC0">
      <w:pPr>
        <w:pStyle w:val="32"/>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1</w:t>
      </w:r>
      <w:r>
        <w:rPr>
          <w:rFonts w:ascii="Times New Roman" w:eastAsia="宋体" w:cs="Times New Roman" w:hAnsiTheme="minorEastAsia"/>
          <w:color w:val="auto"/>
        </w:rPr>
        <w:t>）评标委员会应当按照客观、公正、审慎的原则，根据招标文件规定的评审程序、评审方法和评审标准进行独立评审。</w:t>
      </w:r>
    </w:p>
    <w:p w14:paraId="035389F3">
      <w:pPr>
        <w:pStyle w:val="32"/>
        <w:spacing w:line="360" w:lineRule="auto"/>
        <w:ind w:firstLine="448" w:firstLineChars="200"/>
        <w:jc w:val="both"/>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2</w:t>
      </w:r>
      <w:r>
        <w:rPr>
          <w:rFonts w:hint="eastAsia" w:ascii="Times New Roman" w:eastAsia="宋体" w:cs="Times New Roman" w:hAnsiTheme="minorEastAsia"/>
          <w:color w:val="auto"/>
        </w:rPr>
        <w:t>）</w:t>
      </w:r>
      <w:r>
        <w:rPr>
          <w:rFonts w:ascii="Times New Roman" w:eastAsia="宋体" w:cs="Times New Roman" w:hAnsiTheme="minorEastAsia"/>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3A72B06">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3</w:t>
      </w:r>
      <w:r>
        <w:rPr>
          <w:rFonts w:ascii="Times New Roman" w:eastAsia="宋体" w:cs="Times New Roman" w:hAnsiTheme="minorEastAsia"/>
          <w:color w:val="auto"/>
        </w:rPr>
        <w:t>）对招标文件中描述有歧义或前后不一致的地方，</w:t>
      </w:r>
      <w:r>
        <w:rPr>
          <w:rFonts w:hint="eastAsia" w:ascii="Times New Roman" w:eastAsia="宋体" w:cs="Times New Roman" w:hAnsiTheme="minorEastAsia"/>
          <w:color w:val="auto"/>
        </w:rPr>
        <w:t>但不影响项目评审的，</w:t>
      </w:r>
      <w:r>
        <w:rPr>
          <w:rFonts w:ascii="Times New Roman" w:eastAsia="宋体" w:cs="Times New Roman" w:hAnsiTheme="minorEastAsia"/>
          <w:color w:val="auto"/>
        </w:rPr>
        <w:t>评标委员会有权进行评判，但对同一条款的评判应适用于每个投标人。</w:t>
      </w:r>
    </w:p>
    <w:p w14:paraId="50C1E6F6">
      <w:pPr>
        <w:pStyle w:val="32"/>
        <w:spacing w:line="360" w:lineRule="auto"/>
        <w:ind w:firstLine="448" w:firstLineChars="200"/>
        <w:jc w:val="both"/>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4</w:t>
      </w:r>
      <w:r>
        <w:rPr>
          <w:rFonts w:hint="eastAsia" w:ascii="Times New Roman" w:eastAsia="宋体" w:cs="Times New Roman" w:hAnsiTheme="minor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8BB47AD">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31.2 </w:t>
      </w:r>
      <w:r>
        <w:rPr>
          <w:rFonts w:ascii="Times New Roman" w:eastAsia="宋体" w:cs="Times New Roman" w:hAnsiTheme="minorEastAsia"/>
          <w:color w:val="auto"/>
        </w:rPr>
        <w:t>评标方法</w:t>
      </w:r>
    </w:p>
    <w:p w14:paraId="076F2340">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1</w:t>
      </w:r>
      <w:r>
        <w:rPr>
          <w:rFonts w:ascii="Times New Roman" w:eastAsia="宋体" w:cs="Times New Roman" w:hAnsiTheme="minorEastAsia"/>
          <w:color w:val="auto"/>
        </w:rPr>
        <w:t>）采用</w:t>
      </w:r>
      <w:r>
        <w:rPr>
          <w:rFonts w:ascii="Times New Roman" w:hAnsi="Times New Roman" w:eastAsia="宋体" w:cs="Times New Roman"/>
          <w:color w:val="auto"/>
        </w:rPr>
        <w:t>“</w:t>
      </w:r>
      <w:r>
        <w:rPr>
          <w:rFonts w:ascii="Times New Roman" w:eastAsia="宋体" w:cs="Times New Roman" w:hAnsiTheme="minorEastAsia"/>
          <w:color w:val="auto"/>
        </w:rPr>
        <w:t>综合评分法</w:t>
      </w:r>
      <w:r>
        <w:rPr>
          <w:rFonts w:ascii="Times New Roman" w:hAnsi="Times New Roman" w:eastAsia="宋体" w:cs="Times New Roman"/>
          <w:color w:val="auto"/>
        </w:rPr>
        <w:t>”</w:t>
      </w:r>
      <w:r>
        <w:rPr>
          <w:rFonts w:ascii="Times New Roman" w:eastAsia="宋体" w:cs="Times New Roman" w:hAnsiTheme="minorEastAsia"/>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2D02888B">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2</w:t>
      </w:r>
      <w:r>
        <w:rPr>
          <w:rFonts w:ascii="Times New Roman" w:eastAsia="宋体" w:cs="Times New Roman" w:hAnsiTheme="minorEastAsia"/>
          <w:color w:val="auto"/>
        </w:rPr>
        <w:t>）根据《中华人民共和国政府采购法实施条例》和《关于进一步规范政府采购评审工作有关问题的通知》（财库〔</w:t>
      </w:r>
      <w:r>
        <w:rPr>
          <w:rFonts w:ascii="Times New Roman" w:hAnsi="Times New Roman" w:eastAsia="宋体" w:cs="Times New Roman"/>
          <w:color w:val="auto"/>
        </w:rPr>
        <w:t>2012</w:t>
      </w:r>
      <w:r>
        <w:rPr>
          <w:rFonts w:ascii="Times New Roman" w:eastAsia="宋体" w:cs="Times New Roman" w:hAnsiTheme="minorEastAsia"/>
          <w:color w:val="auto"/>
        </w:rPr>
        <w:t>〕</w:t>
      </w:r>
      <w:r>
        <w:rPr>
          <w:rFonts w:ascii="Times New Roman" w:hAnsi="Times New Roman" w:eastAsia="宋体" w:cs="Times New Roman"/>
          <w:color w:val="auto"/>
        </w:rPr>
        <w:t>69</w:t>
      </w:r>
      <w:r>
        <w:rPr>
          <w:rFonts w:ascii="Times New Roman" w:eastAsia="宋体" w:cs="Times New Roman" w:hAnsiTheme="minor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069B709A">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3</w:t>
      </w:r>
      <w:r>
        <w:rPr>
          <w:rFonts w:ascii="Times New Roman" w:eastAsia="宋体" w:cs="Times New Roman" w:hAnsiTheme="minor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14:paraId="4FAB752D">
      <w:pPr>
        <w:pStyle w:val="32"/>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ascii="Times New Roman" w:hAnsi="Times New Roman" w:eastAsia="宋体" w:cs="Times New Roman"/>
          <w:color w:val="auto"/>
        </w:rPr>
        <w:t>4</w:t>
      </w:r>
      <w:r>
        <w:rPr>
          <w:rFonts w:ascii="Times New Roman" w:eastAsia="宋体" w:cs="Times New Roman" w:hAnsiTheme="minor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Pr>
          <w:rFonts w:hint="eastAsia" w:ascii="Times New Roman" w:eastAsia="宋体" w:cs="Times New Roman" w:hAnsiTheme="minorEastAsia"/>
          <w:color w:val="auto"/>
        </w:rPr>
        <w:t>采购人或评标委员会经采购人授权后按中标候选供应商顺序确定中标供应商。</w:t>
      </w:r>
    </w:p>
    <w:p w14:paraId="18969300">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5</w:t>
      </w:r>
      <w:r>
        <w:rPr>
          <w:rFonts w:ascii="Times New Roman" w:eastAsia="宋体" w:cs="Times New Roman" w:hAnsiTheme="minorEastAsia"/>
          <w:color w:val="auto"/>
        </w:rPr>
        <w:t>）根据《政府采购货物和服务招标投标管理办法》（</w:t>
      </w:r>
      <w:r>
        <w:rPr>
          <w:rFonts w:hint="eastAsia" w:ascii="Times New Roman" w:eastAsia="宋体" w:cs="Times New Roman" w:hAnsiTheme="minorEastAsia"/>
          <w:color w:val="auto"/>
        </w:rPr>
        <w:t>财政部</w:t>
      </w:r>
      <w:r>
        <w:rPr>
          <w:rFonts w:ascii="Times New Roman" w:eastAsia="宋体" w:cs="Times New Roman" w:hAnsiTheme="minorEastAsia"/>
          <w:color w:val="auto"/>
        </w:rPr>
        <w:t>令第</w:t>
      </w:r>
      <w:r>
        <w:rPr>
          <w:rFonts w:hint="eastAsia" w:ascii="Times New Roman" w:hAnsi="Times New Roman" w:eastAsia="宋体" w:cs="Times New Roman"/>
          <w:color w:val="auto"/>
        </w:rPr>
        <w:t>87</w:t>
      </w:r>
      <w:r>
        <w:rPr>
          <w:rFonts w:ascii="Times New Roman" w:eastAsia="宋体" w:cs="Times New Roman" w:hAnsiTheme="minorEastAsia"/>
          <w:color w:val="auto"/>
        </w:rPr>
        <w:t>号）第</w:t>
      </w:r>
      <w:r>
        <w:rPr>
          <w:rFonts w:ascii="Times New Roman" w:hAnsi="Times New Roman" w:eastAsia="宋体" w:cs="Times New Roman"/>
          <w:color w:val="auto"/>
        </w:rPr>
        <w:t>43</w:t>
      </w:r>
      <w:r>
        <w:rPr>
          <w:rFonts w:ascii="Times New Roman" w:eastAsia="宋体" w:cs="Times New Roman" w:hAnsiTheme="minorEastAsia"/>
          <w:color w:val="auto"/>
        </w:rPr>
        <w:t>条规定，如评审现场经财政部门批准本项目转为其他采购方式的，按相应采购方式程序执行。</w:t>
      </w:r>
    </w:p>
    <w:p w14:paraId="5F0F4885">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32. </w:t>
      </w:r>
      <w:r>
        <w:rPr>
          <w:rFonts w:ascii="Times New Roman" w:eastAsia="宋体" w:cs="Times New Roman" w:hAnsiTheme="minorEastAsia"/>
          <w:color w:val="auto"/>
        </w:rPr>
        <w:t>其他注意事项</w:t>
      </w:r>
    </w:p>
    <w:p w14:paraId="6FB40A59">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32.1 </w:t>
      </w:r>
      <w:r>
        <w:rPr>
          <w:rFonts w:ascii="Times New Roman" w:eastAsia="宋体" w:cs="Times New Roman" w:hAnsiTheme="minorEastAsia"/>
          <w:color w:val="auto"/>
        </w:rPr>
        <w:t>在开标、投标期间，投标人不得向评标委员会成员或采购代理机构询问评标情况、施加任何影响，不得进行旨在影响评标结果的活动。</w:t>
      </w:r>
    </w:p>
    <w:p w14:paraId="1210878A">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32.2 </w:t>
      </w:r>
      <w:r>
        <w:rPr>
          <w:rFonts w:ascii="Times New Roman" w:eastAsia="宋体" w:cs="Times New Roman" w:hAnsiTheme="minor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22CB9FDE">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 xml:space="preserve">32. 3 </w:t>
      </w:r>
      <w:r>
        <w:rPr>
          <w:rFonts w:ascii="Times New Roman" w:eastAsia="宋体" w:cs="Times New Roman" w:hAnsiTheme="minorEastAsia"/>
          <w:color w:val="auto"/>
        </w:rPr>
        <w:t>本项目不接受赠品、回扣或者与采购无关的其他商品、服务。</w:t>
      </w:r>
    </w:p>
    <w:p w14:paraId="0A33BEA5">
      <w:pPr>
        <w:pStyle w:val="32"/>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 xml:space="preserve">F  </w:t>
      </w:r>
      <w:r>
        <w:rPr>
          <w:rFonts w:ascii="Times New Roman" w:eastAsia="宋体" w:cs="Times New Roman" w:hAnsiTheme="minorEastAsia"/>
          <w:color w:val="auto"/>
        </w:rPr>
        <w:t>授予合同</w:t>
      </w:r>
    </w:p>
    <w:p w14:paraId="69382044">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33. </w:t>
      </w:r>
      <w:r>
        <w:rPr>
          <w:rFonts w:ascii="Times New Roman" w:eastAsia="宋体" w:cs="Times New Roman" w:hAnsiTheme="minorEastAsia"/>
          <w:color w:val="auto"/>
        </w:rPr>
        <w:t>中标供应商的产生</w:t>
      </w:r>
    </w:p>
    <w:p w14:paraId="171A6255">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33.1 </w:t>
      </w:r>
      <w:r>
        <w:rPr>
          <w:rFonts w:ascii="Times New Roman" w:eastAsia="宋体" w:cs="Times New Roman" w:hAnsiTheme="minorEastAsia"/>
          <w:color w:val="auto"/>
        </w:rPr>
        <w:t>采购人可以事先授权评标委员会直接确定中标供应商。</w:t>
      </w:r>
    </w:p>
    <w:p w14:paraId="2843B658">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33.2 </w:t>
      </w:r>
      <w:r>
        <w:rPr>
          <w:rFonts w:ascii="Times New Roman" w:eastAsia="宋体" w:cs="Times New Roman" w:hAnsiTheme="minorEastAsia"/>
          <w:color w:val="auto"/>
        </w:rPr>
        <w:t>采购人也可以按照《政府采购法》及其实施条例等法律法规的规定和招标文件的要求确认中标供应商。</w:t>
      </w:r>
    </w:p>
    <w:p w14:paraId="4914DAD7">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34. </w:t>
      </w:r>
      <w:r>
        <w:rPr>
          <w:rFonts w:hint="eastAsia" w:ascii="Times New Roman" w:eastAsia="宋体" w:cs="Times New Roman" w:hAnsiTheme="minorEastAsia"/>
          <w:color w:val="auto"/>
        </w:rPr>
        <w:t>中标通知</w:t>
      </w:r>
    </w:p>
    <w:p w14:paraId="087C0434">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34.1 </w:t>
      </w:r>
      <w:r>
        <w:rPr>
          <w:rFonts w:hint="eastAsia" w:ascii="Times New Roman" w:eastAsia="宋体" w:cs="Times New Roman" w:hAnsiTheme="minorEastAsia"/>
          <w:color w:val="auto"/>
        </w:rPr>
        <w:t>中标公告发布同时，采购代理机构将通过天津市政府采购中心招投标系统以电子形式向中标供应商发出《中标通知书》（请使用天津市中环认证服务有限公司发出的CA数字证书（原天津市电子认证中心发出尚在有效期内的CA数字证书仍可使用）登陆天津市政府采购中心网（网址：</w:t>
      </w:r>
      <w:r>
        <w:fldChar w:fldCharType="begin"/>
      </w:r>
      <w:r>
        <w:instrText xml:space="preserve"> HYPERLINK "http://tjgpc.cz.tj.gov.cn/" </w:instrText>
      </w:r>
      <w:r>
        <w:fldChar w:fldCharType="separate"/>
      </w:r>
      <w:r>
        <w:rPr>
          <w:rStyle w:val="26"/>
          <w:rFonts w:ascii="Times New Roman" w:hAnsi="Times New Roman" w:eastAsia="宋体" w:cs="Times New Roman"/>
        </w:rPr>
        <w:t>http://tjgpc.zwfwb.tj.gov.cn/</w:t>
      </w:r>
      <w:r>
        <w:rPr>
          <w:rStyle w:val="26"/>
          <w:rFonts w:ascii="Times New Roman" w:hAnsi="Times New Roman" w:eastAsia="宋体" w:cs="Times New Roman"/>
        </w:rPr>
        <w:fldChar w:fldCharType="end"/>
      </w:r>
      <w:r>
        <w:rPr>
          <w:rFonts w:hint="eastAsia" w:ascii="Times New Roman" w:eastAsia="宋体" w:cs="Times New Roman" w:hAnsiTheme="minorEastAsia"/>
          <w:color w:val="auto"/>
        </w:rPr>
        <w:t>）</w:t>
      </w:r>
      <w:r>
        <w:rPr>
          <w:rFonts w:hint="eastAsia" w:ascii="Times New Roman" w:hAnsi="Times New Roman" w:eastAsia="宋体" w:cs="Times New Roman"/>
          <w:color w:val="auto"/>
        </w:rPr>
        <w:t>-“网上招投标”-“供应商登录”-“区级集采机构入口”</w:t>
      </w:r>
      <w:r>
        <w:rPr>
          <w:rFonts w:hint="eastAsia" w:ascii="Times New Roman" w:eastAsia="宋体" w:cs="Times New Roman" w:hAnsiTheme="minorEastAsia"/>
          <w:color w:val="auto"/>
        </w:rPr>
        <w:t>，并从</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供应商系统</w:t>
      </w:r>
      <w:r>
        <w:rPr>
          <w:rFonts w:hint="eastAsia" w:ascii="Times New Roman" w:hAnsi="Times New Roman" w:eastAsia="宋体" w:cs="Times New Roman"/>
          <w:color w:val="auto"/>
        </w:rPr>
        <w:t>”</w:t>
      </w:r>
      <w:r>
        <w:rPr>
          <w:rFonts w:hint="eastAsia" w:ascii="Times New Roman" w:eastAsia="宋体" w:cs="Times New Roman" w:hAnsiTheme="minorEastAsia"/>
          <w:color w:val="auto"/>
        </w:rPr>
        <w:t>的</w:t>
      </w:r>
      <w:r>
        <w:rPr>
          <w:rFonts w:hint="eastAsia" w:ascii="Times New Roman" w:hAnsi="Times New Roman" w:eastAsia="宋体" w:cs="Times New Roman"/>
          <w:color w:val="auto"/>
        </w:rPr>
        <w:t>“</w:t>
      </w:r>
      <w:r>
        <w:rPr>
          <w:rFonts w:hint="eastAsia" w:ascii="Times New Roman" w:eastAsia="宋体" w:cs="Times New Roman" w:hAnsiTheme="minorEastAsia"/>
          <w:color w:val="auto"/>
        </w:rPr>
        <w:t>查看项目文件</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中获取）。《中标通知书》一经发出即发生法律效力。</w:t>
      </w:r>
    </w:p>
    <w:p w14:paraId="5846EB56">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35. </w:t>
      </w:r>
      <w:r>
        <w:rPr>
          <w:rFonts w:hint="eastAsia" w:ascii="Times New Roman" w:eastAsia="宋体" w:cs="Times New Roman" w:hAnsiTheme="minorEastAsia"/>
          <w:color w:val="auto"/>
        </w:rPr>
        <w:t>投标人可使用天津市中环认证服务有限公司发出的CA数字证书（原天津市电子认证中心发出尚在有效期内的CA数字证书仍可使用）登陆天津市政府采购中心网（网址：</w:t>
      </w:r>
      <w:r>
        <w:fldChar w:fldCharType="begin"/>
      </w:r>
      <w:r>
        <w:instrText xml:space="preserve"> HYPERLINK "http://tjgpc.cz.tj.gov.cn/" </w:instrText>
      </w:r>
      <w:r>
        <w:fldChar w:fldCharType="separate"/>
      </w:r>
      <w:r>
        <w:rPr>
          <w:rStyle w:val="26"/>
          <w:rFonts w:ascii="Times New Roman" w:hAnsi="Times New Roman" w:eastAsia="宋体" w:cs="Times New Roman"/>
        </w:rPr>
        <w:t>http://tjgpc.zwfwb.tj.gov.cn/</w:t>
      </w:r>
      <w:r>
        <w:rPr>
          <w:rStyle w:val="26"/>
          <w:rFonts w:ascii="Times New Roman" w:hAnsi="Times New Roman" w:eastAsia="宋体" w:cs="Times New Roman"/>
        </w:rPr>
        <w:fldChar w:fldCharType="end"/>
      </w:r>
      <w:r>
        <w:rPr>
          <w:rFonts w:hint="eastAsia" w:ascii="Times New Roman" w:eastAsia="宋体" w:cs="Times New Roman" w:hAnsiTheme="minorEastAsia"/>
          <w:color w:val="auto"/>
        </w:rPr>
        <w:t>）</w:t>
      </w:r>
      <w:r>
        <w:rPr>
          <w:rFonts w:hint="eastAsia" w:ascii="Times New Roman" w:hAnsi="Times New Roman" w:eastAsia="宋体" w:cs="Times New Roman"/>
          <w:color w:val="auto"/>
        </w:rPr>
        <w:t>-“网上招投标”-“供应商登录”-“区级集采机构入口”</w:t>
      </w:r>
      <w:r>
        <w:rPr>
          <w:rFonts w:hint="eastAsia" w:ascii="Times New Roman" w:eastAsia="宋体" w:cs="Times New Roman" w:hAnsiTheme="minorEastAsia"/>
          <w:color w:val="auto"/>
        </w:rPr>
        <w:t>，并从</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供应商系统</w:t>
      </w:r>
      <w:r>
        <w:rPr>
          <w:rFonts w:hint="eastAsia" w:ascii="Times New Roman" w:hAnsi="Times New Roman" w:eastAsia="宋体" w:cs="Times New Roman"/>
          <w:color w:val="auto"/>
        </w:rPr>
        <w:t>”</w:t>
      </w:r>
      <w:r>
        <w:rPr>
          <w:rFonts w:hint="eastAsia" w:ascii="Times New Roman" w:eastAsia="宋体" w:cs="Times New Roman" w:hAnsiTheme="minorEastAsia"/>
          <w:color w:val="auto"/>
        </w:rPr>
        <w:t>的</w:t>
      </w:r>
      <w:r>
        <w:rPr>
          <w:rFonts w:hint="eastAsia" w:ascii="Times New Roman" w:hAnsi="Times New Roman" w:eastAsia="宋体" w:cs="Times New Roman"/>
          <w:color w:val="auto"/>
        </w:rPr>
        <w:t>“</w:t>
      </w:r>
      <w:r>
        <w:rPr>
          <w:rFonts w:hint="eastAsia" w:ascii="Times New Roman" w:eastAsia="宋体" w:cs="Times New Roman" w:hAnsiTheme="minorEastAsia"/>
          <w:color w:val="auto"/>
        </w:rPr>
        <w:t>查看项目文件</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中获取未通过资格审查的原因或从</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供应商系统</w:t>
      </w:r>
      <w:r>
        <w:rPr>
          <w:rFonts w:hint="eastAsia" w:ascii="Times New Roman" w:hAnsi="Times New Roman" w:eastAsia="宋体" w:cs="Times New Roman"/>
          <w:color w:val="auto"/>
        </w:rPr>
        <w:t>”</w:t>
      </w:r>
      <w:r>
        <w:rPr>
          <w:rFonts w:hint="eastAsia" w:ascii="Times New Roman" w:eastAsia="宋体" w:cs="Times New Roman" w:hAnsiTheme="minorEastAsia"/>
          <w:color w:val="auto"/>
        </w:rPr>
        <w:t>的</w:t>
      </w:r>
      <w:r>
        <w:rPr>
          <w:rFonts w:hint="eastAsia" w:ascii="Times New Roman" w:hAnsi="Times New Roman" w:eastAsia="宋体" w:cs="Times New Roman"/>
          <w:color w:val="auto"/>
        </w:rPr>
        <w:t>“</w:t>
      </w:r>
      <w:r>
        <w:rPr>
          <w:rFonts w:hint="eastAsia" w:ascii="Times New Roman" w:eastAsia="宋体" w:cs="Times New Roman" w:hAnsiTheme="minorEastAsia"/>
          <w:color w:val="auto"/>
        </w:rPr>
        <w:t>查看排序和得分</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中获取未中标人本人的评审得分与排序。</w:t>
      </w:r>
    </w:p>
    <w:p w14:paraId="177C69C7">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36. </w:t>
      </w:r>
      <w:r>
        <w:rPr>
          <w:rFonts w:hint="eastAsia" w:ascii="Times New Roman" w:eastAsia="宋体" w:cs="Times New Roman" w:hAnsiTheme="minorEastAsia"/>
          <w:color w:val="auto"/>
        </w:rPr>
        <w:t>签订合同</w:t>
      </w:r>
    </w:p>
    <w:p w14:paraId="4C4E4244">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36.1 </w:t>
      </w:r>
      <w:r>
        <w:rPr>
          <w:rFonts w:hint="eastAsia" w:ascii="Times New Roman" w:eastAsia="宋体" w:cs="Times New Roman" w:hAnsiTheme="minorEastAsia"/>
          <w:color w:val="auto"/>
        </w:rPr>
        <w:t>采购人与中标供应商应当在中标通知书发出之日起三十日内，按照招标文件确定的事项签订政府采购合同。合同文本请使用天津市中环认证服务有限公司发出的CA数字证书（原天津市电子认证中心发出尚在有效期内的CA数字证书仍可使用）登陆天津市政府采购中心网（网址：</w:t>
      </w:r>
      <w:r>
        <w:fldChar w:fldCharType="begin"/>
      </w:r>
      <w:r>
        <w:instrText xml:space="preserve"> HYPERLINK "http://tjgpc.cz.tj.gov.cn/" </w:instrText>
      </w:r>
      <w:r>
        <w:fldChar w:fldCharType="separate"/>
      </w:r>
      <w:r>
        <w:rPr>
          <w:rStyle w:val="26"/>
          <w:rFonts w:ascii="Times New Roman" w:hAnsi="Times New Roman" w:eastAsia="宋体" w:cs="Times New Roman"/>
        </w:rPr>
        <w:t>http://tjgpc.zwfwb.tj.gov.cn/</w:t>
      </w:r>
      <w:r>
        <w:rPr>
          <w:rStyle w:val="26"/>
          <w:rFonts w:ascii="Times New Roman" w:hAnsi="Times New Roman" w:eastAsia="宋体" w:cs="Times New Roman"/>
        </w:rPr>
        <w:fldChar w:fldCharType="end"/>
      </w:r>
      <w:r>
        <w:rPr>
          <w:rFonts w:hint="eastAsia" w:ascii="Times New Roman" w:eastAsia="宋体" w:cs="Times New Roman" w:hAnsiTheme="minorEastAsia"/>
          <w:color w:val="auto"/>
        </w:rPr>
        <w:t>）</w:t>
      </w:r>
      <w:r>
        <w:rPr>
          <w:rFonts w:hint="eastAsia" w:ascii="Times New Roman" w:hAnsi="Times New Roman" w:eastAsia="宋体" w:cs="Times New Roman"/>
          <w:color w:val="auto"/>
        </w:rPr>
        <w:t>-“网上招投标”-“供应商登录”-“区级集采机构入口”</w:t>
      </w:r>
      <w:r>
        <w:rPr>
          <w:rFonts w:hint="eastAsia" w:ascii="Times New Roman" w:eastAsia="宋体" w:cs="Times New Roman" w:hAnsiTheme="minorEastAsia"/>
          <w:color w:val="auto"/>
        </w:rPr>
        <w:t>，并从</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供应商系统</w:t>
      </w:r>
      <w:r>
        <w:rPr>
          <w:rFonts w:hint="eastAsia" w:ascii="Times New Roman" w:hAnsi="Times New Roman" w:eastAsia="宋体" w:cs="Times New Roman"/>
          <w:color w:val="auto"/>
        </w:rPr>
        <w:t>”</w:t>
      </w:r>
      <w:r>
        <w:rPr>
          <w:rFonts w:hint="eastAsia" w:ascii="Times New Roman" w:eastAsia="宋体" w:cs="Times New Roman" w:hAnsiTheme="minorEastAsia"/>
          <w:color w:val="auto"/>
        </w:rPr>
        <w:t>的</w:t>
      </w:r>
      <w:r>
        <w:rPr>
          <w:rFonts w:hint="eastAsia" w:ascii="Times New Roman" w:hAnsi="Times New Roman" w:eastAsia="宋体" w:cs="Times New Roman"/>
          <w:color w:val="auto"/>
        </w:rPr>
        <w:t>“</w:t>
      </w:r>
      <w:r>
        <w:rPr>
          <w:rFonts w:hint="eastAsia" w:ascii="Times New Roman" w:eastAsia="宋体" w:cs="Times New Roman" w:hAnsiTheme="minorEastAsia"/>
          <w:color w:val="auto"/>
        </w:rPr>
        <w:t>合同</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中获取。</w:t>
      </w:r>
    </w:p>
    <w:p w14:paraId="09A9DEF2">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36.2 </w:t>
      </w:r>
      <w:r>
        <w:rPr>
          <w:rFonts w:hint="eastAsia" w:ascii="Times New Roman" w:eastAsia="宋体" w:cs="Times New Roman" w:hAnsiTheme="minorEastAsia"/>
          <w:color w:val="auto"/>
        </w:rPr>
        <w:t>招标文件、中标供应商的投标文件及其澄清文件等，均为签订合同的依据，且为合同的组成部分。</w:t>
      </w:r>
    </w:p>
    <w:p w14:paraId="7AE95A66">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37. </w:t>
      </w:r>
      <w:r>
        <w:rPr>
          <w:rFonts w:hint="eastAsia" w:ascii="Times New Roman" w:eastAsia="宋体" w:cs="Times New Roman" w:hAnsiTheme="minorEastAsia"/>
          <w:color w:val="auto"/>
        </w:rPr>
        <w:t>履约保证金</w:t>
      </w:r>
    </w:p>
    <w:p w14:paraId="103D4816">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37.1 </w:t>
      </w:r>
      <w:r>
        <w:rPr>
          <w:rFonts w:hint="eastAsia" w:ascii="Times New Roman" w:eastAsia="宋体" w:cs="Times New Roman" w:hAnsiTheme="minorEastAsia"/>
          <w:color w:val="auto"/>
        </w:rPr>
        <w:t>若《招标项目要求》规定须提交履约保证金的，合同签订前，中标供应商须按照规定要求提交履约保证金，履约保证金的有效期至货到并最终验收合格之日。</w:t>
      </w:r>
    </w:p>
    <w:p w14:paraId="2EF5D69B">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37.2 </w:t>
      </w:r>
      <w:r>
        <w:rPr>
          <w:rFonts w:hint="eastAsia" w:ascii="Times New Roman" w:eastAsia="宋体" w:cs="Times New Roman" w:hAnsiTheme="minorEastAsia"/>
          <w:color w:val="auto"/>
        </w:rPr>
        <w:t>中标供应商未能按合同规定履行其义务，采购人有权没收其履约保证金。</w:t>
      </w:r>
    </w:p>
    <w:p w14:paraId="3D76D180">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38. </w:t>
      </w:r>
      <w:r>
        <w:rPr>
          <w:rFonts w:hint="eastAsia" w:ascii="Times New Roman" w:eastAsia="宋体" w:cs="Times New Roman" w:hAnsiTheme="minorEastAsia"/>
          <w:color w:val="auto"/>
        </w:rPr>
        <w:t>中标供应商拒绝与采购人签订合同的，采购人可以按照评审报告推荐的中标候选人名单排序，确定下一候选人为中标供应商，也可以重新开展政府采购活动。</w:t>
      </w:r>
    </w:p>
    <w:p w14:paraId="421B22ED">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39. </w:t>
      </w:r>
      <w:r>
        <w:rPr>
          <w:rFonts w:hint="eastAsia" w:ascii="Times New Roman" w:eastAsia="宋体" w:cs="Times New Roman" w:hAnsiTheme="minorEastAsia"/>
          <w:color w:val="auto"/>
        </w:rPr>
        <w:t>合同分包</w:t>
      </w:r>
    </w:p>
    <w:p w14:paraId="4EE3F70B">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39.1 </w:t>
      </w:r>
      <w:r>
        <w:rPr>
          <w:rFonts w:hint="eastAsia" w:ascii="Times New Roman" w:eastAsia="宋体" w:cs="Times New Roman" w:hAnsiTheme="minorEastAsia"/>
          <w:color w:val="auto"/>
        </w:rPr>
        <w:t>未经采购人同意，中标供应商不得分包合同。</w:t>
      </w:r>
    </w:p>
    <w:p w14:paraId="302F098D">
      <w:pPr>
        <w:pStyle w:val="32"/>
        <w:spacing w:line="360" w:lineRule="auto"/>
        <w:ind w:firstLine="448" w:firstLineChars="200"/>
        <w:jc w:val="both"/>
        <w:rPr>
          <w:rFonts w:ascii="Times New Roman" w:eastAsia="宋体" w:cs="Times New Roman" w:hAnsiTheme="minorEastAsia"/>
          <w:color w:val="auto"/>
        </w:rPr>
      </w:pPr>
      <w:r>
        <w:rPr>
          <w:rFonts w:hint="eastAsia" w:ascii="Times New Roman" w:hAnsi="Times New Roman" w:eastAsia="宋体" w:cs="Times New Roman"/>
          <w:color w:val="auto"/>
        </w:rPr>
        <w:t xml:space="preserve">39.2 </w:t>
      </w:r>
      <w:r>
        <w:rPr>
          <w:rFonts w:hint="eastAsia" w:ascii="Times New Roman" w:eastAsia="宋体" w:cs="Times New Roman" w:hAnsiTheme="minorEastAsia"/>
          <w:color w:val="auto"/>
        </w:rPr>
        <w:t>政府采购合同分包履行的，中标供应商就采购项目和分包项目向采购人负责，分包供应商就分包项目承担责任。</w:t>
      </w:r>
    </w:p>
    <w:p w14:paraId="3F95037D">
      <w:pPr>
        <w:pStyle w:val="32"/>
        <w:spacing w:line="360" w:lineRule="auto"/>
        <w:ind w:firstLine="448" w:firstLineChars="200"/>
        <w:jc w:val="center"/>
        <w:rPr>
          <w:rFonts w:ascii="Times New Roman" w:eastAsia="宋体" w:cs="Times New Roman" w:hAnsiTheme="minorEastAsia"/>
          <w:color w:val="auto"/>
        </w:rPr>
      </w:pPr>
      <w:r>
        <w:rPr>
          <w:rFonts w:hint="eastAsia" w:ascii="Times New Roman" w:eastAsia="宋体" w:cs="Times New Roman" w:hAnsiTheme="minorEastAsia"/>
          <w:color w:val="auto"/>
        </w:rPr>
        <w:t>G 政府采购“明白纸”</w:t>
      </w:r>
    </w:p>
    <w:p w14:paraId="6C738B33">
      <w:pPr>
        <w:pStyle w:val="32"/>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40.1政府采购支持中小企业政策“明白纸”</w:t>
      </w:r>
    </w:p>
    <w:p w14:paraId="7327623E">
      <w:pPr>
        <w:pStyle w:val="32"/>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ascii="Times New Roman" w:hAnsi="Times New Roman" w:eastAsia="宋体" w:cs="Times New Roman"/>
          <w:color w:val="auto"/>
        </w:rPr>
        <w:t>1</w:t>
      </w:r>
      <w:r>
        <w:rPr>
          <w:rFonts w:ascii="Times New Roman" w:eastAsia="宋体" w:cs="Times New Roman" w:hAnsiTheme="minorEastAsia"/>
          <w:color w:val="auto"/>
        </w:rPr>
        <w:t>）《区财政局区发展改革委区住房建设委区交通运输局区水务局区政务服务办关于进一步贯彻落实政府采购支持中小企业政策的通知》（津滨财采[2022]8号）（以下简称通知）提出了哪些进一步支持中小企业的措施？</w:t>
      </w:r>
    </w:p>
    <w:p w14:paraId="305353C6">
      <w:pPr>
        <w:pStyle w:val="32"/>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一是阶段性提高政府采购工程面向中小企业预留份额。400万元以下的工程采购项目适宜由中小企业提供的应专门面向中小企业采购。超过400万元的工程采购项目中适宜由中小企业提供的，2022年下半年面向中小企业的预留份额由30%以上阶段性提高至40%以上。</w:t>
      </w:r>
    </w:p>
    <w:p w14:paraId="0823A431">
      <w:pPr>
        <w:pStyle w:val="32"/>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二是调整对小微企业的价格评审优惠幅度。货物服务采购项目给予小微企业的价格扣除优惠，由6%-10%提高至10-%20%。大中型企业与小微企业组成联合体或者大中型企业向小微企业分包的，评审优惠幅度由2%-3%提高至4%-6%。货物、服务采购项目适宜由中小企业提供的，以及大中型企业与小微企业组成联合体或者大中型企业向小微企业分包的，对小微企业给予价格扣除优惠时按照上述比例区间上限执行。</w:t>
      </w:r>
    </w:p>
    <w:p w14:paraId="6352E981">
      <w:pPr>
        <w:pStyle w:val="32"/>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2</w:t>
      </w:r>
      <w:r>
        <w:rPr>
          <w:rFonts w:ascii="Times New Roman" w:eastAsia="宋体" w:cs="Times New Roman" w:hAnsiTheme="minorEastAsia"/>
          <w:color w:val="auto"/>
        </w:rPr>
        <w:t>）《通知》是如何降低中小企业参与政府采购成本的？</w:t>
      </w:r>
    </w:p>
    <w:p w14:paraId="5F92C592">
      <w:pPr>
        <w:pStyle w:val="32"/>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《通知》在保证金收取、资金支付、合同融资等方面对支持中小企业也作出了规定，多措并举降低中小企业参与政府采购成本。</w:t>
      </w:r>
    </w:p>
    <w:p w14:paraId="6AA10023">
      <w:pPr>
        <w:pStyle w:val="32"/>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14:paraId="1712630D">
      <w:pPr>
        <w:pStyle w:val="32"/>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3</w:t>
      </w:r>
      <w:r>
        <w:rPr>
          <w:rFonts w:ascii="Times New Roman" w:eastAsia="宋体" w:cs="Times New Roman" w:hAnsiTheme="minorEastAsia"/>
          <w:color w:val="auto"/>
        </w:rPr>
        <w:t>）怎样确保政策落实到位？</w:t>
      </w:r>
    </w:p>
    <w:p w14:paraId="54AC6A28">
      <w:pPr>
        <w:pStyle w:val="32"/>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一是强化政策宣传。政策印发后，新区财政局制定政府采购支持中小企业政策“明白纸”，细致解读政策内容，通过开展线上腾讯会议营商环境大讲堂对政策进行宣讲解读，提高中小企业政策知晓率。</w:t>
      </w:r>
    </w:p>
    <w:p w14:paraId="0C1673BD">
      <w:pPr>
        <w:pStyle w:val="32"/>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二是形成监督合力，新区财政、发展改革、住房城乡建设、交通运输、水务、政务服务等部门根据各自职责分工，积极调整完善执行工程招投标领域有关标准文本、评标制度等规定和做法，广泛开展政策宣贯，确保预留份额、评审优惠等政策措施在全口径政府采购工程项目中得到有效贯彻执行，提高中小企业合同规模。</w:t>
      </w:r>
    </w:p>
    <w:p w14:paraId="440657D3">
      <w:pPr>
        <w:pStyle w:val="32"/>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4</w:t>
      </w:r>
      <w:r>
        <w:rPr>
          <w:rFonts w:ascii="Times New Roman" w:eastAsia="宋体" w:cs="Times New Roman" w:hAnsiTheme="minorEastAsia"/>
          <w:color w:val="auto"/>
        </w:rPr>
        <w:t>）中小企业怎样知晓采购项目是否面向中小企业？</w:t>
      </w:r>
    </w:p>
    <w:p w14:paraId="4A698EBB">
      <w:pPr>
        <w:pStyle w:val="32"/>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《政府采购促进中小企业发展管理办法》明确采购项目涉及中小企业采购的，预留份额、价格扣除比例或价格加分比例等内容应当在采购文件中明确。因此，中小企业可在采购文件中获取相关信息。</w:t>
      </w:r>
    </w:p>
    <w:p w14:paraId="007D746C">
      <w:pPr>
        <w:pStyle w:val="32"/>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5</w:t>
      </w:r>
      <w:r>
        <w:rPr>
          <w:rFonts w:ascii="Times New Roman" w:eastAsia="宋体" w:cs="Times New Roman" w:hAnsiTheme="minorEastAsia"/>
          <w:color w:val="auto"/>
        </w:rPr>
        <w:t>）中小企业享受扶持政策应提供什么份证明材料？</w:t>
      </w:r>
    </w:p>
    <w:p w14:paraId="4F885596">
      <w:pPr>
        <w:pStyle w:val="32"/>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函内容不实的，属于提供虚假材料谋取中标、成交，依照《中华人民共和国政府采购法》等国家有关规定追究相应责任。</w:t>
      </w:r>
    </w:p>
    <w:p w14:paraId="2657CE60">
      <w:pPr>
        <w:pStyle w:val="32"/>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6</w:t>
      </w:r>
      <w:r>
        <w:rPr>
          <w:rFonts w:ascii="Times New Roman" w:eastAsia="宋体" w:cs="Times New Roman" w:hAnsiTheme="minorEastAsia"/>
          <w:color w:val="auto"/>
        </w:rPr>
        <w:t>）企业不清楚自身是否为中小企业，怎么办？</w:t>
      </w:r>
    </w:p>
    <w:p w14:paraId="747D8C61">
      <w:pPr>
        <w:pStyle w:val="32"/>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关于企业标准的判定，参与政府采购的企业可根据《中小企业划型标准规定》（工信部联企业〔2011〕300号）要求判定是否为中小企业。此外，为方便广大中小企业、政府部门和社会公众识别企业规模类型，工业和信息化部组织开发了中小企业规模类型自测小程序，并于2020年2月27日上线运行，在国务院客户端和工业和信息化部网站上均有链接，广大中小企业和各类社会机构填写企业所属的行业和指标数据自动生成企业规模类型测试结果。</w:t>
      </w:r>
    </w:p>
    <w:p w14:paraId="6175FF81">
      <w:pPr>
        <w:pStyle w:val="32"/>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40.2 滨海新区财政局</w:t>
      </w:r>
      <w:r>
        <w:rPr>
          <w:rFonts w:hint="eastAsia" w:ascii="Times New Roman" w:hAnsi="Times New Roman" w:eastAsia="宋体" w:cs="Times New Roman"/>
          <w:color w:val="auto"/>
        </w:rPr>
        <w:t>“政采贷”</w:t>
      </w:r>
      <w:r>
        <w:rPr>
          <w:rFonts w:hint="eastAsia" w:ascii="Times New Roman" w:eastAsia="宋体" w:cs="Times New Roman" w:hAnsiTheme="minorEastAsia"/>
          <w:color w:val="auto"/>
        </w:rPr>
        <w:t>明白纸</w:t>
      </w:r>
    </w:p>
    <w:p w14:paraId="49511AA8">
      <w:pPr>
        <w:pStyle w:val="32"/>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14:paraId="1F860205">
      <w:pPr>
        <w:pStyle w:val="32"/>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一、“政采贷”概念</w:t>
      </w:r>
    </w:p>
    <w:p w14:paraId="7B218110">
      <w:pPr>
        <w:pStyle w:val="32"/>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政采贷”即政府采购合同融资的简称，是金融机构以中小企业的诚信考量和信用审查为基础，基于其取得并提供的政府采购合同，按优惠贷款利率直接向中小企业发放贷款的一种融资方式。政采贷能有效减轻企业融资成本和负担，助力解决民营企业、中小企业“融资难、融资贵、资金不足”的困难。</w:t>
      </w:r>
    </w:p>
    <w:p w14:paraId="1641620E">
      <w:pPr>
        <w:pStyle w:val="32"/>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二、“政采贷”基本流程介绍</w:t>
      </w:r>
    </w:p>
    <w:p w14:paraId="5D984136">
      <w:pPr>
        <w:pStyle w:val="32"/>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“企业申请”-“银行接受申请”-“获取政采业务数据、订单信息、合同信息等”-“线下尽调、审核资质”-“银行风控评估”-“预授信”-“放款、提款”</w:t>
      </w:r>
    </w:p>
    <w:p w14:paraId="6F824B0C">
      <w:pPr>
        <w:pStyle w:val="32"/>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三、我市主要金融机构开通“政采贷”情况</w:t>
      </w:r>
    </w:p>
    <w:p w14:paraId="5A739D89">
      <w:pPr>
        <w:pStyle w:val="32"/>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目前“政采贷”业务已经逐步在各大商业金融机构上线，未来我市主要金融机构“政采贷”业务将实现全覆盖，中标供应商可以根据自身情况自行选择。其中部分金融机构及咨询电话见下表(后续将持续更新)：</w:t>
      </w:r>
    </w:p>
    <w:tbl>
      <w:tblPr>
        <w:tblStyle w:val="20"/>
        <w:tblW w:w="8519" w:type="dxa"/>
        <w:tblInd w:w="93" w:type="dxa"/>
        <w:tblLayout w:type="fixed"/>
        <w:tblCellMar>
          <w:top w:w="0" w:type="dxa"/>
          <w:left w:w="108" w:type="dxa"/>
          <w:bottom w:w="0" w:type="dxa"/>
          <w:right w:w="108" w:type="dxa"/>
        </w:tblCellMar>
      </w:tblPr>
      <w:tblGrid>
        <w:gridCol w:w="492"/>
        <w:gridCol w:w="1001"/>
        <w:gridCol w:w="1292"/>
        <w:gridCol w:w="964"/>
        <w:gridCol w:w="3384"/>
        <w:gridCol w:w="1386"/>
      </w:tblGrid>
      <w:tr w14:paraId="399DF66E">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61F88B40">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序号</w:t>
            </w:r>
          </w:p>
        </w:tc>
        <w:tc>
          <w:tcPr>
            <w:tcW w:w="1001" w:type="dxa"/>
            <w:tcBorders>
              <w:top w:val="single" w:color="000000" w:sz="4" w:space="0"/>
              <w:left w:val="single" w:color="000000" w:sz="4" w:space="0"/>
              <w:bottom w:val="single" w:color="000000" w:sz="4" w:space="0"/>
              <w:right w:val="single" w:color="000000" w:sz="4" w:space="0"/>
            </w:tcBorders>
            <w:vAlign w:val="center"/>
          </w:tcPr>
          <w:p w14:paraId="52E02DD9">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金融机构名称</w:t>
            </w:r>
          </w:p>
        </w:tc>
        <w:tc>
          <w:tcPr>
            <w:tcW w:w="1292" w:type="dxa"/>
            <w:tcBorders>
              <w:top w:val="single" w:color="000000" w:sz="4" w:space="0"/>
              <w:left w:val="single" w:color="000000" w:sz="4" w:space="0"/>
              <w:bottom w:val="single" w:color="000000" w:sz="4" w:space="0"/>
              <w:right w:val="single" w:color="000000" w:sz="4" w:space="0"/>
            </w:tcBorders>
            <w:vAlign w:val="center"/>
          </w:tcPr>
          <w:p w14:paraId="51B2B9F6">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参考利率及额度</w:t>
            </w:r>
          </w:p>
        </w:tc>
        <w:tc>
          <w:tcPr>
            <w:tcW w:w="964" w:type="dxa"/>
            <w:tcBorders>
              <w:top w:val="single" w:color="000000" w:sz="4" w:space="0"/>
              <w:left w:val="single" w:color="000000" w:sz="4" w:space="0"/>
              <w:bottom w:val="single" w:color="000000" w:sz="4" w:space="0"/>
              <w:right w:val="single" w:color="000000" w:sz="4" w:space="0"/>
            </w:tcBorders>
            <w:vAlign w:val="center"/>
          </w:tcPr>
          <w:p w14:paraId="5982F733">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现阶段面向范围</w:t>
            </w:r>
          </w:p>
        </w:tc>
        <w:tc>
          <w:tcPr>
            <w:tcW w:w="3384" w:type="dxa"/>
            <w:tcBorders>
              <w:top w:val="single" w:color="000000" w:sz="4" w:space="0"/>
              <w:left w:val="single" w:color="000000" w:sz="4" w:space="0"/>
              <w:bottom w:val="single" w:color="000000" w:sz="4" w:space="0"/>
              <w:right w:val="single" w:color="000000" w:sz="4" w:space="0"/>
            </w:tcBorders>
            <w:vAlign w:val="center"/>
          </w:tcPr>
          <w:p w14:paraId="622ED588">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申请条件</w:t>
            </w:r>
          </w:p>
        </w:tc>
        <w:tc>
          <w:tcPr>
            <w:tcW w:w="1386" w:type="dxa"/>
            <w:tcBorders>
              <w:top w:val="single" w:color="000000" w:sz="4" w:space="0"/>
              <w:left w:val="single" w:color="000000" w:sz="4" w:space="0"/>
              <w:bottom w:val="single" w:color="000000" w:sz="4" w:space="0"/>
              <w:right w:val="single" w:color="000000" w:sz="4" w:space="0"/>
            </w:tcBorders>
            <w:vAlign w:val="center"/>
          </w:tcPr>
          <w:p w14:paraId="025C8C8C">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咨询电话</w:t>
            </w:r>
          </w:p>
        </w:tc>
      </w:tr>
      <w:tr w14:paraId="6FA503DF">
        <w:tblPrEx>
          <w:tblCellMar>
            <w:top w:w="0" w:type="dxa"/>
            <w:left w:w="108" w:type="dxa"/>
            <w:bottom w:w="0" w:type="dxa"/>
            <w:right w:w="108" w:type="dxa"/>
          </w:tblCellMar>
        </w:tblPrEx>
        <w:trPr>
          <w:trHeight w:val="312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2F6E681B">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1</w:t>
            </w:r>
          </w:p>
        </w:tc>
        <w:tc>
          <w:tcPr>
            <w:tcW w:w="1001" w:type="dxa"/>
            <w:tcBorders>
              <w:top w:val="single" w:color="000000" w:sz="4" w:space="0"/>
              <w:left w:val="single" w:color="000000" w:sz="4" w:space="0"/>
              <w:bottom w:val="single" w:color="000000" w:sz="4" w:space="0"/>
              <w:right w:val="single" w:color="000000" w:sz="4" w:space="0"/>
            </w:tcBorders>
            <w:vAlign w:val="center"/>
          </w:tcPr>
          <w:p w14:paraId="386C14D7">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中国银行</w:t>
            </w:r>
          </w:p>
        </w:tc>
        <w:tc>
          <w:tcPr>
            <w:tcW w:w="1292" w:type="dxa"/>
            <w:tcBorders>
              <w:top w:val="single" w:color="000000" w:sz="4" w:space="0"/>
              <w:left w:val="single" w:color="000000" w:sz="4" w:space="0"/>
              <w:bottom w:val="single" w:color="000000" w:sz="4" w:space="0"/>
              <w:right w:val="single" w:color="000000" w:sz="4" w:space="0"/>
            </w:tcBorders>
            <w:vAlign w:val="bottom"/>
          </w:tcPr>
          <w:p w14:paraId="23F8AC55">
            <w:pPr>
              <w:widowControl/>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1709AE03">
            <w:pPr>
              <w:widowControl/>
              <w:textAlignment w:val="center"/>
              <w:rPr>
                <w:rFonts w:ascii="宋体" w:hAnsi="宋体" w:cs="宋体"/>
                <w:color w:val="000000"/>
                <w:kern w:val="0"/>
                <w:sz w:val="19"/>
                <w:szCs w:val="19"/>
              </w:rPr>
            </w:pPr>
            <w:r>
              <w:rPr>
                <w:rFonts w:hint="eastAsia" w:ascii="宋体" w:hAnsi="宋体" w:cs="宋体"/>
                <w:color w:val="000000"/>
                <w:kern w:val="0"/>
                <w:sz w:val="19"/>
                <w:szCs w:val="19"/>
              </w:rPr>
              <w:t>根据当期lpr进行综合核定，原则上不3.85%</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14:paraId="4332F120">
            <w:pPr>
              <w:widowControl/>
              <w:textAlignment w:val="center"/>
              <w:rPr>
                <w:rFonts w:ascii="宋体" w:hAnsi="宋体" w:cs="宋体"/>
                <w:color w:val="000000"/>
                <w:sz w:val="19"/>
                <w:szCs w:val="19"/>
              </w:rPr>
            </w:pPr>
            <w:r>
              <w:rPr>
                <w:rFonts w:hint="eastAsia" w:ascii="宋体" w:hAnsi="宋体" w:cs="宋体"/>
                <w:color w:val="000000"/>
                <w:kern w:val="0"/>
                <w:sz w:val="19"/>
                <w:szCs w:val="19"/>
              </w:rPr>
              <w:t>小微企业不超过1000万元,大中型企业具体以政府采购金额为测算依据，无金额限制</w:t>
            </w:r>
          </w:p>
        </w:tc>
        <w:tc>
          <w:tcPr>
            <w:tcW w:w="964" w:type="dxa"/>
            <w:tcBorders>
              <w:top w:val="single" w:color="000000" w:sz="4" w:space="0"/>
              <w:left w:val="single" w:color="000000" w:sz="4" w:space="0"/>
              <w:bottom w:val="single" w:color="000000" w:sz="4" w:space="0"/>
              <w:right w:val="single" w:color="000000" w:sz="4" w:space="0"/>
            </w:tcBorders>
            <w:vAlign w:val="center"/>
          </w:tcPr>
          <w:p w14:paraId="5FF3AE89">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0107064B">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1、在政府采购中无不良履约记录；</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2、企业及其实际控制人、法定代表人、受益所有人等关联人员不存在涉及洗钱、恐怖融资、金融诈骗、偷逃税、侵犯知识产权等违法犯罪行为或违反制裁规定的行为；</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color="000000" w:sz="4" w:space="0"/>
              <w:left w:val="single" w:color="000000" w:sz="4" w:space="0"/>
              <w:bottom w:val="single" w:color="000000" w:sz="4" w:space="0"/>
              <w:right w:val="single" w:color="000000" w:sz="4" w:space="0"/>
            </w:tcBorders>
            <w:vAlign w:val="center"/>
          </w:tcPr>
          <w:p w14:paraId="5E6B8ABE">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 xml:space="preserve">27106030 </w:t>
            </w:r>
          </w:p>
          <w:p w14:paraId="4554A2AC">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吴楠</w:t>
            </w:r>
          </w:p>
        </w:tc>
      </w:tr>
      <w:tr w14:paraId="46EE9AED">
        <w:tblPrEx>
          <w:tblCellMar>
            <w:top w:w="0" w:type="dxa"/>
            <w:left w:w="108" w:type="dxa"/>
            <w:bottom w:w="0" w:type="dxa"/>
            <w:right w:w="108" w:type="dxa"/>
          </w:tblCellMar>
        </w:tblPrEx>
        <w:trPr>
          <w:trHeight w:val="144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622D7914">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2</w:t>
            </w:r>
          </w:p>
        </w:tc>
        <w:tc>
          <w:tcPr>
            <w:tcW w:w="1001" w:type="dxa"/>
            <w:tcBorders>
              <w:top w:val="single" w:color="000000" w:sz="4" w:space="0"/>
              <w:left w:val="single" w:color="000000" w:sz="4" w:space="0"/>
              <w:bottom w:val="single" w:color="000000" w:sz="4" w:space="0"/>
              <w:right w:val="single" w:color="000000" w:sz="4" w:space="0"/>
            </w:tcBorders>
            <w:vAlign w:val="center"/>
          </w:tcPr>
          <w:p w14:paraId="2476B07F">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邮储银行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1D679A35">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4C68D547">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约4.95%</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14:paraId="6ED39879">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不超过200万元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7D727AB3">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5EF8696D">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企业经营满一年以上，有一年以上政府中标历史记录，当前有生效政府中标订单，企业及法定代表人征信记录良好</w:t>
            </w:r>
          </w:p>
        </w:tc>
        <w:tc>
          <w:tcPr>
            <w:tcW w:w="1386" w:type="dxa"/>
            <w:tcBorders>
              <w:top w:val="single" w:color="000000" w:sz="4" w:space="0"/>
              <w:left w:val="single" w:color="000000" w:sz="4" w:space="0"/>
              <w:bottom w:val="single" w:color="000000" w:sz="4" w:space="0"/>
              <w:right w:val="single" w:color="000000" w:sz="4" w:space="0"/>
            </w:tcBorders>
            <w:vAlign w:val="center"/>
          </w:tcPr>
          <w:p w14:paraId="59C3B572">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hint="eastAsia" w:ascii="宋体" w:hAnsi="宋体" w:cs="宋体"/>
                <w:color w:val="000000"/>
                <w:kern w:val="0"/>
                <w:sz w:val="19"/>
                <w:szCs w:val="19"/>
              </w:rPr>
              <w:t>张日超</w:t>
            </w:r>
          </w:p>
        </w:tc>
      </w:tr>
      <w:tr w14:paraId="5C508A77">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2C863568">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3</w:t>
            </w:r>
          </w:p>
        </w:tc>
        <w:tc>
          <w:tcPr>
            <w:tcW w:w="1001" w:type="dxa"/>
            <w:tcBorders>
              <w:top w:val="single" w:color="000000" w:sz="4" w:space="0"/>
              <w:left w:val="single" w:color="000000" w:sz="4" w:space="0"/>
              <w:bottom w:val="single" w:color="000000" w:sz="4" w:space="0"/>
              <w:right w:val="single" w:color="000000" w:sz="4" w:space="0"/>
            </w:tcBorders>
            <w:vAlign w:val="center"/>
          </w:tcPr>
          <w:p w14:paraId="42DFF73A">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光大银行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02654354">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785ADCE4">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约4%</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14:paraId="5B0126A7">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不超过1000万</w:t>
            </w:r>
          </w:p>
        </w:tc>
        <w:tc>
          <w:tcPr>
            <w:tcW w:w="964" w:type="dxa"/>
            <w:tcBorders>
              <w:top w:val="single" w:color="000000" w:sz="4" w:space="0"/>
              <w:left w:val="single" w:color="000000" w:sz="4" w:space="0"/>
              <w:bottom w:val="single" w:color="000000" w:sz="4" w:space="0"/>
              <w:right w:val="single" w:color="000000" w:sz="4" w:space="0"/>
            </w:tcBorders>
            <w:vAlign w:val="center"/>
          </w:tcPr>
          <w:p w14:paraId="0A2D927D">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18E72798">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1.具有独立承担民事责任的能力，有固定经营场所，将我行账户作为政府采购合同唯一回款账户。</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2.企业成立1年以上，且实际控制人具有3年以上的实际行业经验，具有良好的纳税记录、工商登记记录；</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3.企业具有履行合同所必须的设备和服务能力；</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4.生产经营符合国家法律法规，产业政策和环境保护要求，符合我行信贷政策；</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5.人行征信信息查询系统查询显示借款人、实际控制人无重大不良记录，政府采购履约无不良记录。</w:t>
            </w:r>
          </w:p>
        </w:tc>
        <w:tc>
          <w:tcPr>
            <w:tcW w:w="1386" w:type="dxa"/>
            <w:tcBorders>
              <w:top w:val="single" w:color="000000" w:sz="4" w:space="0"/>
              <w:left w:val="single" w:color="000000" w:sz="4" w:space="0"/>
              <w:bottom w:val="single" w:color="000000" w:sz="4" w:space="0"/>
              <w:right w:val="single" w:color="000000" w:sz="4" w:space="0"/>
            </w:tcBorders>
            <w:vAlign w:val="center"/>
          </w:tcPr>
          <w:p w14:paraId="3F10FA0E">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18722110192谢凝 </w:t>
            </w:r>
            <w:r>
              <w:rPr>
                <w:rFonts w:hint="eastAsia" w:ascii="宋体" w:hAnsi="宋体" w:cs="宋体"/>
                <w:color w:val="000000"/>
                <w:kern w:val="0"/>
                <w:sz w:val="19"/>
                <w:szCs w:val="19"/>
              </w:rPr>
              <w:t>18622858578</w:t>
            </w:r>
          </w:p>
          <w:p w14:paraId="0967863D">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马嵘</w:t>
            </w:r>
          </w:p>
        </w:tc>
      </w:tr>
      <w:tr w14:paraId="6392F379">
        <w:tblPrEx>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36710048">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4</w:t>
            </w:r>
          </w:p>
        </w:tc>
        <w:tc>
          <w:tcPr>
            <w:tcW w:w="1001" w:type="dxa"/>
            <w:tcBorders>
              <w:top w:val="single" w:color="000000" w:sz="4" w:space="0"/>
              <w:left w:val="single" w:color="000000" w:sz="4" w:space="0"/>
              <w:bottom w:val="single" w:color="000000" w:sz="4" w:space="0"/>
              <w:right w:val="single" w:color="000000" w:sz="4" w:space="0"/>
            </w:tcBorders>
            <w:vAlign w:val="center"/>
          </w:tcPr>
          <w:p w14:paraId="38BF492F">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浦发银行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77201DE1">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137EE238">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约3.8%</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融资额度：不超过500万</w:t>
            </w:r>
          </w:p>
        </w:tc>
        <w:tc>
          <w:tcPr>
            <w:tcW w:w="964" w:type="dxa"/>
            <w:tcBorders>
              <w:top w:val="single" w:color="000000" w:sz="4" w:space="0"/>
              <w:left w:val="single" w:color="000000" w:sz="4" w:space="0"/>
              <w:bottom w:val="single" w:color="000000" w:sz="4" w:space="0"/>
              <w:right w:val="single" w:color="000000" w:sz="4" w:space="0"/>
            </w:tcBorders>
            <w:vAlign w:val="center"/>
          </w:tcPr>
          <w:p w14:paraId="29AB8F57">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4769199B">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1、申请人不得有失信记录；</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2、订单对应的政府采购部门在天津市，中标企业注册地在天津。</w:t>
            </w:r>
          </w:p>
        </w:tc>
        <w:tc>
          <w:tcPr>
            <w:tcW w:w="1386" w:type="dxa"/>
            <w:tcBorders>
              <w:top w:val="single" w:color="000000" w:sz="4" w:space="0"/>
              <w:left w:val="single" w:color="000000" w:sz="4" w:space="0"/>
              <w:bottom w:val="single" w:color="000000" w:sz="4" w:space="0"/>
              <w:right w:val="single" w:color="000000" w:sz="4" w:space="0"/>
            </w:tcBorders>
            <w:vAlign w:val="center"/>
          </w:tcPr>
          <w:p w14:paraId="09496660">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13612152218</w:t>
            </w:r>
          </w:p>
          <w:p w14:paraId="5A3D9F30">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刘扬</w:t>
            </w:r>
          </w:p>
        </w:tc>
      </w:tr>
      <w:tr w14:paraId="0AA3E5AA">
        <w:tblPrEx>
          <w:tblCellMar>
            <w:top w:w="0" w:type="dxa"/>
            <w:left w:w="108" w:type="dxa"/>
            <w:bottom w:w="0" w:type="dxa"/>
            <w:right w:w="108" w:type="dxa"/>
          </w:tblCellMar>
        </w:tblPrEx>
        <w:trPr>
          <w:trHeight w:val="192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00483061">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5</w:t>
            </w:r>
          </w:p>
        </w:tc>
        <w:tc>
          <w:tcPr>
            <w:tcW w:w="1001" w:type="dxa"/>
            <w:tcBorders>
              <w:top w:val="single" w:color="000000" w:sz="4" w:space="0"/>
              <w:left w:val="single" w:color="000000" w:sz="4" w:space="0"/>
              <w:bottom w:val="single" w:color="000000" w:sz="4" w:space="0"/>
              <w:right w:val="single" w:color="000000" w:sz="4" w:space="0"/>
            </w:tcBorders>
            <w:vAlign w:val="center"/>
          </w:tcPr>
          <w:p w14:paraId="21E23B53">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齐鲁银行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34155DF9">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1EB8F5F5">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4.50%起</w:t>
            </w:r>
          </w:p>
          <w:p w14:paraId="727C4E85">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融资额度：</w:t>
            </w:r>
          </w:p>
          <w:p w14:paraId="350E6805">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不超过1000万</w:t>
            </w:r>
          </w:p>
        </w:tc>
        <w:tc>
          <w:tcPr>
            <w:tcW w:w="964" w:type="dxa"/>
            <w:tcBorders>
              <w:top w:val="single" w:color="000000" w:sz="4" w:space="0"/>
              <w:left w:val="single" w:color="000000" w:sz="4" w:space="0"/>
              <w:bottom w:val="single" w:color="000000" w:sz="4" w:space="0"/>
              <w:right w:val="single" w:color="000000" w:sz="4" w:space="0"/>
            </w:tcBorders>
            <w:vAlign w:val="center"/>
          </w:tcPr>
          <w:p w14:paraId="760727F9">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大中小微企业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14B07DBD">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1、获得政府采购订单，中标信息可在公开网站查询。如无法查询，可出示国家扶持政策内不公开中标信息文件。</w:t>
            </w:r>
          </w:p>
          <w:p w14:paraId="5F6189E4">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2、采购合同回款账户为齐鲁银行，并做质押登记。</w:t>
            </w:r>
          </w:p>
          <w:p w14:paraId="7E501AB3">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3、符合我行客户准入要求（同上一条）。</w:t>
            </w:r>
          </w:p>
        </w:tc>
        <w:tc>
          <w:tcPr>
            <w:tcW w:w="1386" w:type="dxa"/>
            <w:tcBorders>
              <w:top w:val="single" w:color="000000" w:sz="4" w:space="0"/>
              <w:left w:val="single" w:color="000000" w:sz="4" w:space="0"/>
              <w:bottom w:val="single" w:color="000000" w:sz="4" w:space="0"/>
              <w:right w:val="single" w:color="000000" w:sz="4" w:space="0"/>
            </w:tcBorders>
            <w:vAlign w:val="center"/>
          </w:tcPr>
          <w:p w14:paraId="02AA766F">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022-23271885</w:t>
            </w:r>
          </w:p>
          <w:p w14:paraId="48D51F80">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朱怡璇</w:t>
            </w:r>
          </w:p>
        </w:tc>
      </w:tr>
      <w:tr w14:paraId="084A9860">
        <w:tblPrEx>
          <w:tblCellMar>
            <w:top w:w="0" w:type="dxa"/>
            <w:left w:w="108" w:type="dxa"/>
            <w:bottom w:w="0" w:type="dxa"/>
            <w:right w:w="108" w:type="dxa"/>
          </w:tblCellMar>
        </w:tblPrEx>
        <w:trPr>
          <w:trHeight w:val="144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54489913">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6</w:t>
            </w:r>
          </w:p>
        </w:tc>
        <w:tc>
          <w:tcPr>
            <w:tcW w:w="1001" w:type="dxa"/>
            <w:tcBorders>
              <w:top w:val="single" w:color="000000" w:sz="4" w:space="0"/>
              <w:left w:val="single" w:color="000000" w:sz="4" w:space="0"/>
              <w:bottom w:val="single" w:color="000000" w:sz="4" w:space="0"/>
              <w:right w:val="single" w:color="000000" w:sz="4" w:space="0"/>
            </w:tcBorders>
            <w:vAlign w:val="center"/>
          </w:tcPr>
          <w:p w14:paraId="535DBE5E">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天津银行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26DEA5FA">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6B47B473">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不低于3.85%</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14:paraId="2C965CBF">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不超过1000万</w:t>
            </w:r>
          </w:p>
        </w:tc>
        <w:tc>
          <w:tcPr>
            <w:tcW w:w="964" w:type="dxa"/>
            <w:tcBorders>
              <w:top w:val="single" w:color="000000" w:sz="4" w:space="0"/>
              <w:left w:val="single" w:color="000000" w:sz="4" w:space="0"/>
              <w:bottom w:val="single" w:color="000000" w:sz="4" w:space="0"/>
              <w:right w:val="single" w:color="000000" w:sz="4" w:space="0"/>
            </w:tcBorders>
            <w:vAlign w:val="center"/>
          </w:tcPr>
          <w:p w14:paraId="45A11C0C">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08661D8D">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1、连续从事政府采购活动一年以上，或主要股东从事政府采购活动两年以上，且交易及信用记录良好；</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2、持有政府采购中标通知书、签订政府采购合同等资料。</w:t>
            </w:r>
          </w:p>
        </w:tc>
        <w:tc>
          <w:tcPr>
            <w:tcW w:w="1386" w:type="dxa"/>
            <w:tcBorders>
              <w:top w:val="single" w:color="000000" w:sz="4" w:space="0"/>
              <w:left w:val="single" w:color="000000" w:sz="4" w:space="0"/>
              <w:bottom w:val="single" w:color="000000" w:sz="4" w:space="0"/>
              <w:right w:val="single" w:color="000000" w:sz="4" w:space="0"/>
            </w:tcBorders>
            <w:vAlign w:val="center"/>
          </w:tcPr>
          <w:p w14:paraId="278CA8F7">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28405397</w:t>
            </w:r>
          </w:p>
          <w:p w14:paraId="25777D99">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王小一</w:t>
            </w:r>
          </w:p>
        </w:tc>
      </w:tr>
      <w:tr w14:paraId="41788C4A">
        <w:tblPrEx>
          <w:tblCellMar>
            <w:top w:w="0" w:type="dxa"/>
            <w:left w:w="108" w:type="dxa"/>
            <w:bottom w:w="0" w:type="dxa"/>
            <w:right w:w="108" w:type="dxa"/>
          </w:tblCellMar>
        </w:tblPrEx>
        <w:trPr>
          <w:trHeight w:val="216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0AFE1673">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7</w:t>
            </w:r>
          </w:p>
        </w:tc>
        <w:tc>
          <w:tcPr>
            <w:tcW w:w="1001" w:type="dxa"/>
            <w:tcBorders>
              <w:top w:val="single" w:color="000000" w:sz="4" w:space="0"/>
              <w:left w:val="single" w:color="000000" w:sz="4" w:space="0"/>
              <w:bottom w:val="single" w:color="000000" w:sz="4" w:space="0"/>
              <w:right w:val="single" w:color="000000" w:sz="4" w:space="0"/>
            </w:tcBorders>
            <w:vAlign w:val="center"/>
          </w:tcPr>
          <w:p w14:paraId="545C3DF3">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天津农商银行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51E19B4B">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59F9FC0E">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结合借款人经营规模、偿债能力、营运效率等因素合理确定</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14:paraId="010C2F9C">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不超过5000万</w:t>
            </w:r>
          </w:p>
        </w:tc>
        <w:tc>
          <w:tcPr>
            <w:tcW w:w="964" w:type="dxa"/>
            <w:tcBorders>
              <w:top w:val="single" w:color="000000" w:sz="4" w:space="0"/>
              <w:left w:val="single" w:color="000000" w:sz="4" w:space="0"/>
              <w:bottom w:val="single" w:color="000000" w:sz="4" w:space="0"/>
              <w:right w:val="single" w:color="000000" w:sz="4" w:space="0"/>
            </w:tcBorders>
            <w:vAlign w:val="center"/>
          </w:tcPr>
          <w:p w14:paraId="54258ABF">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大中小微企业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1E21EDD5">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1、中标供应商财务状况良好，记录良好，有资质且具有1年(含)以上与天津市各类政府采购成功经验；</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2、生产经营符合国家政策；</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3、无违法、违约、不良信用记录，未发生过政府采购业务纠纷等；</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4、银行要求的其他条件。</w:t>
            </w:r>
          </w:p>
        </w:tc>
        <w:tc>
          <w:tcPr>
            <w:tcW w:w="1386" w:type="dxa"/>
            <w:tcBorders>
              <w:top w:val="single" w:color="000000" w:sz="4" w:space="0"/>
              <w:left w:val="single" w:color="000000" w:sz="4" w:space="0"/>
              <w:bottom w:val="single" w:color="000000" w:sz="4" w:space="0"/>
              <w:right w:val="single" w:color="000000" w:sz="4" w:space="0"/>
            </w:tcBorders>
            <w:vAlign w:val="center"/>
          </w:tcPr>
          <w:p w14:paraId="0E7398DE">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022-83872249</w:t>
            </w:r>
          </w:p>
          <w:p w14:paraId="74F1A9A1">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林向宇</w:t>
            </w:r>
          </w:p>
        </w:tc>
      </w:tr>
      <w:tr w14:paraId="36788285">
        <w:tblPrEx>
          <w:tblCellMar>
            <w:top w:w="0" w:type="dxa"/>
            <w:left w:w="108" w:type="dxa"/>
            <w:bottom w:w="0" w:type="dxa"/>
            <w:right w:w="108" w:type="dxa"/>
          </w:tblCellMar>
        </w:tblPrEx>
        <w:trPr>
          <w:trHeight w:val="96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4CAE0443">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8</w:t>
            </w:r>
          </w:p>
        </w:tc>
        <w:tc>
          <w:tcPr>
            <w:tcW w:w="1001" w:type="dxa"/>
            <w:tcBorders>
              <w:top w:val="single" w:color="000000" w:sz="4" w:space="0"/>
              <w:left w:val="single" w:color="000000" w:sz="4" w:space="0"/>
              <w:bottom w:val="single" w:color="000000" w:sz="4" w:space="0"/>
              <w:right w:val="single" w:color="000000" w:sz="4" w:space="0"/>
            </w:tcBorders>
            <w:vAlign w:val="center"/>
          </w:tcPr>
          <w:p w14:paraId="5F02EBA0">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天津滨海农商银行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36A9ABCD">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367394F2">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致电咨询</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融资额度：100-5000万</w:t>
            </w:r>
          </w:p>
        </w:tc>
        <w:tc>
          <w:tcPr>
            <w:tcW w:w="964" w:type="dxa"/>
            <w:tcBorders>
              <w:top w:val="single" w:color="000000" w:sz="4" w:space="0"/>
              <w:left w:val="single" w:color="000000" w:sz="4" w:space="0"/>
              <w:bottom w:val="single" w:color="000000" w:sz="4" w:space="0"/>
              <w:right w:val="single" w:color="000000" w:sz="4" w:space="0"/>
            </w:tcBorders>
            <w:vAlign w:val="center"/>
          </w:tcPr>
          <w:p w14:paraId="7C901C1E">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大中小微企业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248B5868">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1、具有2年(含)以上连续经营记录；</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2、有固定生产经营场所；本行要求的其他条件。</w:t>
            </w:r>
          </w:p>
        </w:tc>
        <w:tc>
          <w:tcPr>
            <w:tcW w:w="1386" w:type="dxa"/>
            <w:tcBorders>
              <w:top w:val="single" w:color="000000" w:sz="4" w:space="0"/>
              <w:left w:val="single" w:color="000000" w:sz="4" w:space="0"/>
              <w:bottom w:val="single" w:color="000000" w:sz="4" w:space="0"/>
              <w:right w:val="single" w:color="000000" w:sz="4" w:space="0"/>
            </w:tcBorders>
            <w:vAlign w:val="center"/>
          </w:tcPr>
          <w:p w14:paraId="1954904A">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 xml:space="preserve">13612141823高飞     </w:t>
            </w:r>
          </w:p>
        </w:tc>
      </w:tr>
      <w:tr w14:paraId="555C1954">
        <w:tblPrEx>
          <w:tblCellMar>
            <w:top w:w="0" w:type="dxa"/>
            <w:left w:w="108" w:type="dxa"/>
            <w:bottom w:w="0" w:type="dxa"/>
            <w:right w:w="108" w:type="dxa"/>
          </w:tblCellMar>
        </w:tblPrEx>
        <w:trPr>
          <w:trHeight w:val="2651"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56EA8C53">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9</w:t>
            </w:r>
          </w:p>
        </w:tc>
        <w:tc>
          <w:tcPr>
            <w:tcW w:w="1001" w:type="dxa"/>
            <w:tcBorders>
              <w:top w:val="single" w:color="000000" w:sz="4" w:space="0"/>
              <w:left w:val="single" w:color="000000" w:sz="4" w:space="0"/>
              <w:bottom w:val="single" w:color="000000" w:sz="4" w:space="0"/>
              <w:right w:val="single" w:color="000000" w:sz="4" w:space="0"/>
            </w:tcBorders>
            <w:vAlign w:val="center"/>
          </w:tcPr>
          <w:p w14:paraId="099B243E">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民生银行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0D456AAF">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36F2D7AE">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最低4%</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14:paraId="3D7DB671">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信用额度最高1000万</w:t>
            </w:r>
          </w:p>
          <w:p w14:paraId="640F533E">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信用+担保额度最高3000万</w:t>
            </w:r>
          </w:p>
        </w:tc>
        <w:tc>
          <w:tcPr>
            <w:tcW w:w="964" w:type="dxa"/>
            <w:tcBorders>
              <w:top w:val="single" w:color="000000" w:sz="4" w:space="0"/>
              <w:left w:val="single" w:color="000000" w:sz="4" w:space="0"/>
              <w:bottom w:val="single" w:color="000000" w:sz="4" w:space="0"/>
              <w:right w:val="single" w:color="000000" w:sz="4" w:space="0"/>
            </w:tcBorders>
            <w:vAlign w:val="center"/>
          </w:tcPr>
          <w:p w14:paraId="3C24454A">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08C7DA29">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1、企业成立满一年，经营良好、征信良好；</w:t>
            </w:r>
          </w:p>
          <w:p w14:paraId="0FD54EA0">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2、实控人25-65周岁，征信良好；</w:t>
            </w:r>
          </w:p>
          <w:p w14:paraId="2BC3798D">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3、近12个月有政府采购中标且正常履约、回款</w:t>
            </w:r>
          </w:p>
        </w:tc>
        <w:tc>
          <w:tcPr>
            <w:tcW w:w="1386" w:type="dxa"/>
            <w:tcBorders>
              <w:top w:val="single" w:color="000000" w:sz="4" w:space="0"/>
              <w:left w:val="single" w:color="000000" w:sz="4" w:space="0"/>
              <w:bottom w:val="single" w:color="000000" w:sz="4" w:space="0"/>
              <w:right w:val="single" w:color="000000" w:sz="4" w:space="0"/>
            </w:tcBorders>
            <w:vAlign w:val="center"/>
          </w:tcPr>
          <w:p w14:paraId="44869B3F">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14:paraId="53D61FF7">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14:paraId="005573AC">
        <w:tblPrEx>
          <w:tblCellMar>
            <w:top w:w="0" w:type="dxa"/>
            <w:left w:w="108" w:type="dxa"/>
            <w:bottom w:w="0" w:type="dxa"/>
            <w:right w:w="108" w:type="dxa"/>
          </w:tblCellMar>
        </w:tblPrEx>
        <w:trPr>
          <w:trHeight w:val="2938"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7252FBE6">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10</w:t>
            </w:r>
          </w:p>
        </w:tc>
        <w:tc>
          <w:tcPr>
            <w:tcW w:w="1001" w:type="dxa"/>
            <w:tcBorders>
              <w:top w:val="single" w:color="000000" w:sz="4" w:space="0"/>
              <w:left w:val="single" w:color="000000" w:sz="4" w:space="0"/>
              <w:bottom w:val="single" w:color="000000" w:sz="4" w:space="0"/>
              <w:right w:val="single" w:color="000000" w:sz="4" w:space="0"/>
            </w:tcBorders>
            <w:vAlign w:val="center"/>
          </w:tcPr>
          <w:p w14:paraId="53DD5445">
            <w:pPr>
              <w:widowControl/>
              <w:textAlignment w:val="center"/>
              <w:rPr>
                <w:rFonts w:ascii="宋体" w:hAnsi="宋体" w:cs="宋体"/>
                <w:color w:val="000000"/>
                <w:sz w:val="19"/>
                <w:szCs w:val="19"/>
              </w:rPr>
            </w:pPr>
            <w:r>
              <w:rPr>
                <w:rFonts w:hint="eastAsia" w:ascii="宋体" w:hAnsi="宋体" w:cs="宋体"/>
                <w:color w:val="000000"/>
                <w:kern w:val="0"/>
                <w:sz w:val="19"/>
                <w:szCs w:val="19"/>
              </w:rPr>
              <w:t>平安银行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38F28C8A">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14:paraId="08A89E7C">
            <w:pPr>
              <w:jc w:val="left"/>
              <w:rPr>
                <w:rFonts w:ascii="宋体" w:hAnsi="宋体" w:cs="宋体"/>
                <w:color w:val="000000"/>
                <w:kern w:val="0"/>
                <w:sz w:val="19"/>
                <w:szCs w:val="19"/>
              </w:rPr>
            </w:pPr>
            <w:r>
              <w:rPr>
                <w:rFonts w:hint="eastAsia" w:ascii="宋体" w:hAnsi="宋体" w:cs="宋体"/>
                <w:color w:val="000000"/>
                <w:kern w:val="0"/>
                <w:sz w:val="19"/>
                <w:szCs w:val="19"/>
              </w:rPr>
              <w:t>约6.00%</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14:paraId="0918F2FA">
            <w:pPr>
              <w:jc w:val="left"/>
              <w:rPr>
                <w:rFonts w:ascii="宋体" w:hAnsi="宋体" w:cs="宋体"/>
                <w:color w:val="000000"/>
                <w:sz w:val="19"/>
                <w:szCs w:val="19"/>
              </w:rPr>
            </w:pPr>
            <w:r>
              <w:rPr>
                <w:rFonts w:hint="eastAsia" w:ascii="宋体" w:hAnsi="宋体" w:cs="宋体"/>
                <w:color w:val="000000"/>
                <w:kern w:val="0"/>
                <w:sz w:val="19"/>
                <w:szCs w:val="19"/>
              </w:rPr>
              <w:t>最高200万元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15923DCF">
            <w:pPr>
              <w:jc w:val="center"/>
              <w:rPr>
                <w:rFonts w:ascii="宋体" w:hAnsi="宋体" w:cs="宋体"/>
                <w:color w:val="000000"/>
                <w:sz w:val="19"/>
                <w:szCs w:val="19"/>
              </w:rPr>
            </w:pPr>
            <w:r>
              <w:rPr>
                <w:rFonts w:hint="eastAsia" w:ascii="宋体" w:hAnsi="宋体" w:cs="宋体"/>
                <w:color w:val="000000"/>
                <w:kern w:val="0"/>
                <w:sz w:val="19"/>
                <w:szCs w:val="19"/>
              </w:rPr>
              <w:t>大中小微企业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20"/>
              <w:tblW w:w="5000" w:type="pct"/>
              <w:tblInd w:w="0" w:type="dxa"/>
              <w:shd w:val="clear" w:color="auto" w:fill="FFFFFF"/>
              <w:tblLayout w:type="fixed"/>
              <w:tblCellMar>
                <w:top w:w="15" w:type="dxa"/>
                <w:left w:w="15" w:type="dxa"/>
                <w:bottom w:w="15" w:type="dxa"/>
                <w:right w:w="15" w:type="dxa"/>
              </w:tblCellMar>
            </w:tblPr>
            <w:tblGrid>
              <w:gridCol w:w="3168"/>
            </w:tblGrid>
            <w:tr w14:paraId="7EB808ED">
              <w:tblPrEx>
                <w:shd w:val="clear" w:color="auto" w:fill="FFFFFF"/>
                <w:tblCellMar>
                  <w:top w:w="15" w:type="dxa"/>
                  <w:left w:w="15" w:type="dxa"/>
                  <w:bottom w:w="15" w:type="dxa"/>
                  <w:right w:w="15" w:type="dxa"/>
                </w:tblCellMar>
              </w:tblPrEx>
              <w:tc>
                <w:tcPr>
                  <w:tcW w:w="2632" w:type="dxa"/>
                  <w:shd w:val="clear" w:color="auto" w:fill="FFFFFF"/>
                  <w:tcMar>
                    <w:top w:w="150" w:type="dxa"/>
                    <w:left w:w="0" w:type="dxa"/>
                    <w:bottom w:w="150" w:type="dxa"/>
                    <w:right w:w="0" w:type="dxa"/>
                  </w:tcMar>
                </w:tcPr>
                <w:p w14:paraId="43F33AA4">
                  <w:pPr>
                    <w:widowControl/>
                    <w:numPr>
                      <w:ilvl w:val="0"/>
                      <w:numId w:val="9"/>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申请人为企业法定代表人或第一大自然人股东，通过微信申请； </w:t>
                  </w:r>
                </w:p>
                <w:p w14:paraId="647F9D4B">
                  <w:pPr>
                    <w:widowControl/>
                    <w:numPr>
                      <w:ilvl w:val="0"/>
                      <w:numId w:val="9"/>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企业及申请人信用记录良好，无不良、违法行为； </w:t>
                  </w:r>
                </w:p>
                <w:p w14:paraId="26FB468E">
                  <w:pPr>
                    <w:widowControl/>
                    <w:numPr>
                      <w:ilvl w:val="0"/>
                      <w:numId w:val="9"/>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企业为天津市政府部门、事业单位的供应商； </w:t>
                  </w:r>
                </w:p>
                <w:p w14:paraId="150AE9B4">
                  <w:pPr>
                    <w:widowControl/>
                    <w:jc w:val="left"/>
                    <w:textAlignment w:val="top"/>
                    <w:rPr>
                      <w:rFonts w:ascii="����" w:hAnsi="����" w:eastAsia="����" w:cs="����"/>
                      <w:color w:val="333333"/>
                      <w:sz w:val="24"/>
                      <w:szCs w:val="24"/>
                    </w:rPr>
                  </w:pPr>
                  <w:r>
                    <w:rPr>
                      <w:rFonts w:hint="eastAsia" w:ascii="宋体" w:hAnsi="宋体" w:cs="宋体"/>
                      <w:color w:val="000000"/>
                      <w:kern w:val="0"/>
                      <w:sz w:val="19"/>
                      <w:szCs w:val="19"/>
                    </w:rPr>
                    <w:t>4、企业有政府采购历史合作记录（近24个月2次，合计50万以上订单记录）且交易记录良好</w:t>
                  </w:r>
                </w:p>
              </w:tc>
            </w:tr>
          </w:tbl>
          <w:p w14:paraId="3A3B169D">
            <w:pPr>
              <w:jc w:val="left"/>
              <w:rPr>
                <w:rFonts w:ascii="宋体" w:hAnsi="宋体" w:cs="宋体"/>
                <w:color w:val="00000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3FB449A0">
            <w:pPr>
              <w:jc w:val="center"/>
              <w:rPr>
                <w:rFonts w:ascii="宋体" w:hAnsi="宋体" w:cs="宋体"/>
                <w:color w:val="000000"/>
                <w:sz w:val="24"/>
                <w:szCs w:val="24"/>
              </w:rPr>
            </w:pPr>
            <w:r>
              <w:rPr>
                <w:rFonts w:hint="eastAsia" w:ascii="宋体" w:hAnsi="宋体" w:cs="宋体"/>
                <w:color w:val="000000"/>
                <w:kern w:val="0"/>
                <w:sz w:val="19"/>
                <w:szCs w:val="19"/>
              </w:rPr>
              <w:t xml:space="preserve">18698167095张伟 </w:t>
            </w:r>
          </w:p>
        </w:tc>
      </w:tr>
      <w:tr w14:paraId="2B64C209">
        <w:tblPrEx>
          <w:tblCellMar>
            <w:top w:w="0" w:type="dxa"/>
            <w:left w:w="108" w:type="dxa"/>
            <w:bottom w:w="0" w:type="dxa"/>
            <w:right w:w="108" w:type="dxa"/>
          </w:tblCellMar>
        </w:tblPrEx>
        <w:trPr>
          <w:trHeight w:val="273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545FF0F9">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11</w:t>
            </w:r>
          </w:p>
        </w:tc>
        <w:tc>
          <w:tcPr>
            <w:tcW w:w="1001" w:type="dxa"/>
            <w:tcBorders>
              <w:top w:val="single" w:color="000000" w:sz="4" w:space="0"/>
              <w:left w:val="single" w:color="000000" w:sz="4" w:space="0"/>
              <w:bottom w:val="single" w:color="000000" w:sz="4" w:space="0"/>
              <w:right w:val="single" w:color="000000" w:sz="4" w:space="0"/>
            </w:tcBorders>
            <w:vAlign w:val="center"/>
          </w:tcPr>
          <w:p w14:paraId="75A09A82">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渤海银行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38BD3A3C">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14:paraId="23E5BA8F">
            <w:pPr>
              <w:jc w:val="left"/>
              <w:rPr>
                <w:rFonts w:ascii="宋体" w:hAnsi="宋体" w:cs="宋体"/>
                <w:color w:val="000000"/>
                <w:kern w:val="0"/>
                <w:sz w:val="19"/>
                <w:szCs w:val="19"/>
              </w:rPr>
            </w:pPr>
            <w:r>
              <w:rPr>
                <w:rFonts w:hint="eastAsia" w:ascii="宋体" w:hAnsi="宋体" w:cs="宋体"/>
                <w:color w:val="000000"/>
                <w:kern w:val="0"/>
                <w:sz w:val="19"/>
                <w:szCs w:val="19"/>
              </w:rPr>
              <w:t>年化约3.85%</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14:paraId="2D6E6A35">
            <w:pPr>
              <w:jc w:val="left"/>
              <w:rPr>
                <w:rFonts w:ascii="宋体" w:hAnsi="宋体" w:cs="宋体"/>
                <w:color w:val="000000"/>
                <w:sz w:val="19"/>
                <w:szCs w:val="19"/>
              </w:rPr>
            </w:pPr>
            <w:r>
              <w:rPr>
                <w:rFonts w:hint="eastAsia" w:ascii="宋体" w:hAnsi="宋体" w:cs="宋体"/>
                <w:color w:val="000000"/>
                <w:kern w:val="0"/>
                <w:sz w:val="19"/>
                <w:szCs w:val="19"/>
              </w:rPr>
              <w:t>最高1000万元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6B89F08B">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20"/>
              <w:tblW w:w="5000" w:type="pct"/>
              <w:tblInd w:w="0" w:type="dxa"/>
              <w:shd w:val="clear" w:color="auto" w:fill="FFFFFF"/>
              <w:tblLayout w:type="fixed"/>
              <w:tblCellMar>
                <w:top w:w="15" w:type="dxa"/>
                <w:left w:w="15" w:type="dxa"/>
                <w:bottom w:w="15" w:type="dxa"/>
                <w:right w:w="15" w:type="dxa"/>
              </w:tblCellMar>
            </w:tblPr>
            <w:tblGrid>
              <w:gridCol w:w="3168"/>
            </w:tblGrid>
            <w:tr w14:paraId="41BC9185">
              <w:tblPrEx>
                <w:shd w:val="clear" w:color="auto" w:fill="FFFFFF"/>
                <w:tblCellMar>
                  <w:top w:w="15" w:type="dxa"/>
                  <w:left w:w="15" w:type="dxa"/>
                  <w:bottom w:w="15" w:type="dxa"/>
                  <w:right w:w="15" w:type="dxa"/>
                </w:tblCellMar>
              </w:tblPrEx>
              <w:tc>
                <w:tcPr>
                  <w:tcW w:w="2632" w:type="dxa"/>
                  <w:shd w:val="clear" w:color="auto" w:fill="FFFFFF"/>
                  <w:tcMar>
                    <w:top w:w="150" w:type="dxa"/>
                    <w:left w:w="0" w:type="dxa"/>
                    <w:bottom w:w="150" w:type="dxa"/>
                    <w:right w:w="0" w:type="dxa"/>
                  </w:tcMar>
                </w:tcPr>
                <w:p w14:paraId="1387F5D2">
                  <w:pPr>
                    <w:widowControl/>
                    <w:numPr>
                      <w:ilvl w:val="0"/>
                      <w:numId w:val="10"/>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有固定的经营场所，企业划型符合小微企业； </w:t>
                  </w:r>
                </w:p>
                <w:p w14:paraId="32906DF0">
                  <w:pPr>
                    <w:widowControl/>
                    <w:numPr>
                      <w:ilvl w:val="0"/>
                      <w:numId w:val="10"/>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信用记录良好，无不良、违法行为； </w:t>
                  </w:r>
                </w:p>
                <w:p w14:paraId="75128015">
                  <w:pPr>
                    <w:widowControl/>
                    <w:numPr>
                      <w:ilvl w:val="0"/>
                      <w:numId w:val="10"/>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持续经营2年以上或实际控制人从业3年以上； 具备政府采购投标资格且交易记录良好； </w:t>
                  </w:r>
                </w:p>
                <w:p w14:paraId="3FA70D2B">
                  <w:pPr>
                    <w:widowControl/>
                    <w:numPr>
                      <w:ilvl w:val="0"/>
                      <w:numId w:val="10"/>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采购项目符合国家产业政策和资源环保政策要求；</w:t>
                  </w:r>
                </w:p>
              </w:tc>
            </w:tr>
          </w:tbl>
          <w:p w14:paraId="7F02B592">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0E342CCB">
            <w:pPr>
              <w:jc w:val="left"/>
              <w:rPr>
                <w:rFonts w:ascii="宋体" w:hAnsi="宋体" w:cs="宋体"/>
                <w:color w:val="000000"/>
                <w:kern w:val="0"/>
                <w:sz w:val="19"/>
                <w:szCs w:val="19"/>
              </w:rPr>
            </w:pPr>
            <w:r>
              <w:rPr>
                <w:rFonts w:hint="eastAsia" w:ascii="宋体" w:hAnsi="宋体" w:cs="宋体"/>
                <w:color w:val="000000"/>
                <w:kern w:val="0"/>
                <w:sz w:val="19"/>
                <w:szCs w:val="19"/>
              </w:rPr>
              <w:t>022-58879322</w:t>
            </w:r>
          </w:p>
          <w:p w14:paraId="7DE5E986">
            <w:pPr>
              <w:ind w:firstLine="174" w:firstLineChars="100"/>
              <w:jc w:val="left"/>
              <w:rPr>
                <w:rFonts w:ascii="宋体" w:hAnsi="宋体" w:cs="宋体"/>
                <w:color w:val="000000"/>
                <w:kern w:val="0"/>
                <w:sz w:val="19"/>
                <w:szCs w:val="19"/>
              </w:rPr>
            </w:pPr>
            <w:r>
              <w:rPr>
                <w:rFonts w:hint="eastAsia" w:ascii="宋体" w:hAnsi="宋体" w:cs="宋体"/>
                <w:color w:val="000000"/>
                <w:kern w:val="0"/>
                <w:sz w:val="19"/>
                <w:szCs w:val="19"/>
              </w:rPr>
              <w:t xml:space="preserve">  姚斌 </w:t>
            </w:r>
          </w:p>
        </w:tc>
      </w:tr>
      <w:tr w14:paraId="6DF0F4F7">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48FB32A5">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12</w:t>
            </w:r>
          </w:p>
        </w:tc>
        <w:tc>
          <w:tcPr>
            <w:tcW w:w="1001" w:type="dxa"/>
            <w:tcBorders>
              <w:top w:val="single" w:color="000000" w:sz="4" w:space="0"/>
              <w:left w:val="single" w:color="000000" w:sz="4" w:space="0"/>
              <w:bottom w:val="single" w:color="000000" w:sz="4" w:space="0"/>
              <w:right w:val="single" w:color="000000" w:sz="4" w:space="0"/>
            </w:tcBorders>
            <w:vAlign w:val="center"/>
          </w:tcPr>
          <w:p w14:paraId="482F7CD3">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中国建设银行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03C55015">
            <w:pPr>
              <w:jc w:val="left"/>
              <w:rPr>
                <w:rFonts w:ascii="宋体" w:hAnsi="宋体" w:cs="宋体"/>
                <w:color w:val="000000"/>
                <w:kern w:val="0"/>
                <w:sz w:val="19"/>
                <w:szCs w:val="19"/>
              </w:rPr>
            </w:pPr>
            <w:r>
              <w:rPr>
                <w:rFonts w:hint="eastAsia" w:ascii="宋体" w:hAnsi="宋体" w:cs="宋体"/>
                <w:color w:val="000000"/>
                <w:kern w:val="0"/>
                <w:sz w:val="19"/>
                <w:szCs w:val="19"/>
              </w:rPr>
              <w:t>参考利率：4.00%-5.00%</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14:paraId="57C0B583">
            <w:pPr>
              <w:jc w:val="left"/>
              <w:rPr>
                <w:rFonts w:ascii="宋体" w:hAnsi="宋体" w:cs="宋体"/>
                <w:color w:val="000000"/>
                <w:kern w:val="0"/>
                <w:sz w:val="19"/>
                <w:szCs w:val="19"/>
              </w:rPr>
            </w:pPr>
            <w:r>
              <w:rPr>
                <w:rFonts w:hint="eastAsia" w:ascii="宋体" w:hAnsi="宋体" w:cs="宋体"/>
                <w:color w:val="000000"/>
                <w:kern w:val="0"/>
                <w:sz w:val="19"/>
                <w:szCs w:val="19"/>
              </w:rPr>
              <w:t>最高2000万元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4373BB7B">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20"/>
              <w:tblW w:w="5000" w:type="pct"/>
              <w:tblInd w:w="0" w:type="dxa"/>
              <w:shd w:val="clear" w:color="auto" w:fill="FFFFFF"/>
              <w:tblLayout w:type="fixed"/>
              <w:tblCellMar>
                <w:top w:w="15" w:type="dxa"/>
                <w:left w:w="15" w:type="dxa"/>
                <w:bottom w:w="15" w:type="dxa"/>
                <w:right w:w="15" w:type="dxa"/>
              </w:tblCellMar>
            </w:tblPr>
            <w:tblGrid>
              <w:gridCol w:w="3168"/>
            </w:tblGrid>
            <w:tr w14:paraId="2EA4BC23">
              <w:tblPrEx>
                <w:shd w:val="clear" w:color="auto" w:fill="FFFFFF"/>
                <w:tblCellMar>
                  <w:top w:w="15" w:type="dxa"/>
                  <w:left w:w="15" w:type="dxa"/>
                  <w:bottom w:w="15" w:type="dxa"/>
                  <w:right w:w="15" w:type="dxa"/>
                </w:tblCellMar>
              </w:tblPrEx>
              <w:tc>
                <w:tcPr>
                  <w:tcW w:w="2632" w:type="dxa"/>
                  <w:shd w:val="clear" w:color="auto" w:fill="FFFFFF"/>
                  <w:tcMar>
                    <w:top w:w="150" w:type="dxa"/>
                    <w:left w:w="0" w:type="dxa"/>
                    <w:bottom w:w="150" w:type="dxa"/>
                    <w:right w:w="0" w:type="dxa"/>
                  </w:tcMar>
                </w:tcPr>
                <w:p w14:paraId="730B17C6">
                  <w:pPr>
                    <w:widowControl/>
                    <w:numPr>
                      <w:ilvl w:val="0"/>
                      <w:numId w:val="11"/>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企业已获得政府采购中标通知，并与集中采购机构、采购代理机构或采购人签订采购合同，企业不得采用分包或转包方式履行政府采购合同。政府采购合同明确了《合同法》规定的基本要素并符合商业惯例和行业规范，政府采购履约期限和付款期限距贷款申请日均在1年（含）以内。 </w:t>
                  </w:r>
                </w:p>
                <w:p w14:paraId="4F22E3FC">
                  <w:pPr>
                    <w:widowControl/>
                    <w:numPr>
                      <w:ilvl w:val="0"/>
                      <w:numId w:val="11"/>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应收账款融资模式下，企业已按政府采购合同的约定履行了交货、工程施工或提供服务等主要义务并且无任何违约行为。 </w:t>
                  </w:r>
                </w:p>
                <w:p w14:paraId="65216D41">
                  <w:pPr>
                    <w:widowControl/>
                    <w:numPr>
                      <w:ilvl w:val="0"/>
                      <w:numId w:val="11"/>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采购合同融资模式下，企业在政府采购活动中与政府成功合作2年（含）以上，且近2年政府采购供应量、工程量或服务量均不低于100万元（含）。 </w:t>
                  </w:r>
                </w:p>
                <w:p w14:paraId="1398D1E7">
                  <w:pPr>
                    <w:widowControl/>
                    <w:jc w:val="left"/>
                    <w:textAlignment w:val="top"/>
                    <w:rPr>
                      <w:rFonts w:ascii="����" w:hAnsi="����" w:eastAsia="����" w:cs="����"/>
                      <w:color w:val="333333"/>
                      <w:sz w:val="24"/>
                      <w:szCs w:val="24"/>
                    </w:rPr>
                  </w:pPr>
                  <w:r>
                    <w:rPr>
                      <w:rFonts w:hint="eastAsia" w:ascii="宋体" w:hAnsi="宋体" w:cs="宋体"/>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14:paraId="69ED6E87">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2A6B83ED">
            <w:pPr>
              <w:jc w:val="center"/>
              <w:rPr>
                <w:rFonts w:ascii="宋体" w:hAnsi="宋体" w:cs="宋体"/>
                <w:color w:val="000000"/>
                <w:kern w:val="0"/>
                <w:sz w:val="19"/>
                <w:szCs w:val="19"/>
              </w:rPr>
            </w:pPr>
            <w:r>
              <w:rPr>
                <w:rFonts w:hint="eastAsia" w:ascii="宋体" w:hAnsi="宋体" w:cs="宋体"/>
                <w:color w:val="000000"/>
                <w:kern w:val="0"/>
                <w:sz w:val="19"/>
                <w:szCs w:val="19"/>
              </w:rPr>
              <w:t xml:space="preserve">58751595 </w:t>
            </w:r>
          </w:p>
          <w:p w14:paraId="31EFA6C8">
            <w:pPr>
              <w:jc w:val="center"/>
              <w:rPr>
                <w:rFonts w:ascii="宋体" w:hAnsi="宋体" w:cs="宋体"/>
                <w:color w:val="000000"/>
                <w:kern w:val="0"/>
                <w:sz w:val="19"/>
                <w:szCs w:val="19"/>
              </w:rPr>
            </w:pPr>
            <w:r>
              <w:rPr>
                <w:rFonts w:hint="eastAsia" w:ascii="宋体" w:hAnsi="宋体" w:cs="宋体"/>
                <w:color w:val="000000"/>
                <w:kern w:val="0"/>
                <w:sz w:val="19"/>
                <w:szCs w:val="19"/>
              </w:rPr>
              <w:t xml:space="preserve"> 赵望宇 </w:t>
            </w:r>
          </w:p>
          <w:p w14:paraId="2ED47BAA">
            <w:pPr>
              <w:jc w:val="center"/>
              <w:rPr>
                <w:rFonts w:ascii="宋体" w:hAnsi="宋体" w:cs="宋体"/>
                <w:color w:val="000000"/>
                <w:kern w:val="0"/>
                <w:sz w:val="19"/>
                <w:szCs w:val="19"/>
              </w:rPr>
            </w:pPr>
            <w:r>
              <w:rPr>
                <w:rFonts w:hint="eastAsia" w:ascii="宋体" w:hAnsi="宋体" w:cs="宋体"/>
                <w:color w:val="000000"/>
                <w:kern w:val="0"/>
                <w:sz w:val="19"/>
                <w:szCs w:val="19"/>
              </w:rPr>
              <w:t>58750209</w:t>
            </w:r>
          </w:p>
          <w:p w14:paraId="62CC94F9">
            <w:pPr>
              <w:jc w:val="center"/>
              <w:rPr>
                <w:rFonts w:ascii="宋体" w:hAnsi="宋体" w:cs="宋体"/>
                <w:color w:val="000000"/>
                <w:kern w:val="0"/>
                <w:sz w:val="19"/>
                <w:szCs w:val="19"/>
              </w:rPr>
            </w:pPr>
            <w:r>
              <w:rPr>
                <w:rFonts w:hint="eastAsia" w:ascii="宋体" w:hAnsi="宋体" w:cs="宋体"/>
                <w:color w:val="000000"/>
                <w:kern w:val="0"/>
                <w:sz w:val="19"/>
                <w:szCs w:val="19"/>
              </w:rPr>
              <w:t xml:space="preserve">肖毅 </w:t>
            </w:r>
          </w:p>
        </w:tc>
      </w:tr>
      <w:tr w14:paraId="275F5A67">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51BCD99A">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13</w:t>
            </w:r>
          </w:p>
        </w:tc>
        <w:tc>
          <w:tcPr>
            <w:tcW w:w="1001" w:type="dxa"/>
            <w:tcBorders>
              <w:top w:val="single" w:color="000000" w:sz="4" w:space="0"/>
              <w:left w:val="single" w:color="000000" w:sz="4" w:space="0"/>
              <w:bottom w:val="single" w:color="000000" w:sz="4" w:space="0"/>
              <w:right w:val="single" w:color="000000" w:sz="4" w:space="0"/>
            </w:tcBorders>
            <w:vAlign w:val="center"/>
          </w:tcPr>
          <w:p w14:paraId="2BB1526B">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中国农业银行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58DDBD4E">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14:paraId="79937A02">
            <w:pPr>
              <w:jc w:val="left"/>
              <w:rPr>
                <w:rFonts w:ascii="宋体" w:hAnsi="宋体" w:cs="宋体"/>
                <w:color w:val="000000"/>
                <w:kern w:val="0"/>
                <w:sz w:val="19"/>
                <w:szCs w:val="19"/>
              </w:rPr>
            </w:pPr>
            <w:r>
              <w:rPr>
                <w:rFonts w:hint="eastAsia" w:ascii="宋体" w:hAnsi="宋体" w:cs="宋体"/>
                <w:color w:val="000000"/>
                <w:kern w:val="0"/>
                <w:sz w:val="19"/>
                <w:szCs w:val="19"/>
              </w:rPr>
              <w:t>约4%</w:t>
            </w:r>
          </w:p>
          <w:p w14:paraId="47575CB2">
            <w:pPr>
              <w:jc w:val="left"/>
              <w:rPr>
                <w:rFonts w:ascii="宋体" w:hAnsi="宋体" w:cs="宋体"/>
                <w:color w:val="000000"/>
                <w:kern w:val="0"/>
                <w:sz w:val="19"/>
                <w:szCs w:val="19"/>
              </w:rPr>
            </w:pPr>
            <w:r>
              <w:rPr>
                <w:rFonts w:hint="eastAsia" w:ascii="宋体" w:hAnsi="宋体" w:cs="宋体"/>
                <w:color w:val="000000"/>
                <w:kern w:val="0"/>
                <w:sz w:val="19"/>
                <w:szCs w:val="19"/>
              </w:rPr>
              <w:t>融资额度：最高1000万元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31401B5E">
            <w:pPr>
              <w:widowControl/>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20"/>
              <w:tblW w:w="5000" w:type="pct"/>
              <w:tblInd w:w="0" w:type="dxa"/>
              <w:shd w:val="clear" w:color="auto" w:fill="FFFFFF"/>
              <w:tblLayout w:type="fixed"/>
              <w:tblCellMar>
                <w:top w:w="15" w:type="dxa"/>
                <w:left w:w="15" w:type="dxa"/>
                <w:bottom w:w="15" w:type="dxa"/>
                <w:right w:w="15" w:type="dxa"/>
              </w:tblCellMar>
            </w:tblPr>
            <w:tblGrid>
              <w:gridCol w:w="3168"/>
            </w:tblGrid>
            <w:tr w14:paraId="2DE64B2D">
              <w:tblPrEx>
                <w:shd w:val="clear" w:color="auto" w:fill="FFFFFF"/>
                <w:tblCellMar>
                  <w:top w:w="15" w:type="dxa"/>
                  <w:left w:w="15" w:type="dxa"/>
                  <w:bottom w:w="15" w:type="dxa"/>
                  <w:right w:w="15" w:type="dxa"/>
                </w:tblCellMar>
              </w:tblPrEx>
              <w:tc>
                <w:tcPr>
                  <w:tcW w:w="3007" w:type="dxa"/>
                  <w:shd w:val="clear" w:color="auto" w:fill="FFFFFF"/>
                  <w:tcMar>
                    <w:top w:w="150" w:type="dxa"/>
                    <w:left w:w="0" w:type="dxa"/>
                    <w:bottom w:w="150" w:type="dxa"/>
                    <w:right w:w="0" w:type="dxa"/>
                  </w:tcMar>
                </w:tcPr>
                <w:p w14:paraId="2473D387">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1、公司成立1年（含）以上，属于政采中标供应商,履约记录良好。 </w:t>
                  </w:r>
                </w:p>
                <w:p w14:paraId="0F62183C">
                  <w:pPr>
                    <w:widowControl/>
                    <w:numPr>
                      <w:ilvl w:val="0"/>
                      <w:numId w:val="12"/>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在我行开立账户，自愿接受农业银行信用监督和结算监管。 </w:t>
                  </w:r>
                </w:p>
                <w:p w14:paraId="577CDE3E">
                  <w:pPr>
                    <w:widowControl/>
                    <w:jc w:val="left"/>
                    <w:textAlignment w:val="top"/>
                    <w:rPr>
                      <w:rFonts w:ascii="����" w:hAnsi="����" w:eastAsia="����" w:cs="����"/>
                      <w:color w:val="333333"/>
                      <w:sz w:val="24"/>
                      <w:szCs w:val="24"/>
                    </w:rPr>
                  </w:pPr>
                  <w:r>
                    <w:rPr>
                      <w:rFonts w:hint="eastAsia" w:ascii="宋体" w:hAnsi="宋体" w:cs="宋体"/>
                      <w:color w:val="000000"/>
                      <w:kern w:val="0"/>
                      <w:sz w:val="19"/>
                      <w:szCs w:val="19"/>
                    </w:rPr>
                    <w:t>3、法定代表人年满18周岁且不超过65周岁，非港、澳、台及外籍人士。 注：具体开办的业务种类及办理程序、办理条件等以中国农业银行当地分行有关规定为准。</w:t>
                  </w:r>
                </w:p>
              </w:tc>
            </w:tr>
          </w:tbl>
          <w:p w14:paraId="597CB971">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2CB21FB8">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13920727755</w:t>
            </w:r>
          </w:p>
          <w:p w14:paraId="1AB169B4">
            <w:pPr>
              <w:jc w:val="center"/>
              <w:rPr>
                <w:rFonts w:ascii="宋体" w:hAnsi="宋体" w:cs="宋体"/>
                <w:color w:val="000000"/>
                <w:kern w:val="0"/>
                <w:sz w:val="19"/>
                <w:szCs w:val="19"/>
              </w:rPr>
            </w:pPr>
            <w:r>
              <w:rPr>
                <w:rFonts w:hint="eastAsia" w:ascii="宋体" w:hAnsi="宋体" w:cs="宋体"/>
                <w:color w:val="000000"/>
                <w:kern w:val="0"/>
                <w:sz w:val="19"/>
                <w:szCs w:val="19"/>
              </w:rPr>
              <w:t>李倩</w:t>
            </w:r>
          </w:p>
        </w:tc>
      </w:tr>
      <w:tr w14:paraId="77696117">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760C3843">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14</w:t>
            </w:r>
          </w:p>
        </w:tc>
        <w:tc>
          <w:tcPr>
            <w:tcW w:w="1001" w:type="dxa"/>
            <w:tcBorders>
              <w:top w:val="single" w:color="000000" w:sz="4" w:space="0"/>
              <w:left w:val="single" w:color="000000" w:sz="4" w:space="0"/>
              <w:bottom w:val="single" w:color="000000" w:sz="4" w:space="0"/>
              <w:right w:val="single" w:color="000000" w:sz="4" w:space="0"/>
            </w:tcBorders>
            <w:vAlign w:val="center"/>
          </w:tcPr>
          <w:p w14:paraId="2EA25D6A">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招商银行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655F6B9C">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14:paraId="5FE27969">
            <w:pPr>
              <w:jc w:val="left"/>
              <w:rPr>
                <w:rFonts w:ascii="宋体" w:hAnsi="宋体" w:cs="宋体"/>
                <w:color w:val="000000"/>
                <w:kern w:val="0"/>
                <w:sz w:val="19"/>
                <w:szCs w:val="19"/>
              </w:rPr>
            </w:pPr>
            <w:r>
              <w:rPr>
                <w:rFonts w:hint="eastAsia" w:ascii="宋体" w:hAnsi="宋体" w:cs="宋体"/>
                <w:color w:val="000000"/>
                <w:kern w:val="0"/>
                <w:sz w:val="19"/>
                <w:szCs w:val="19"/>
              </w:rPr>
              <w:t>一般性贷款利率</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融资额度：最高3000万元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4B6257B7">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大中小微企业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20"/>
              <w:tblW w:w="5000" w:type="pct"/>
              <w:tblInd w:w="0" w:type="dxa"/>
              <w:shd w:val="clear" w:color="auto" w:fill="FFFFFF"/>
              <w:tblLayout w:type="fixed"/>
              <w:tblCellMar>
                <w:top w:w="15" w:type="dxa"/>
                <w:left w:w="15" w:type="dxa"/>
                <w:bottom w:w="15" w:type="dxa"/>
                <w:right w:w="15" w:type="dxa"/>
              </w:tblCellMar>
            </w:tblPr>
            <w:tblGrid>
              <w:gridCol w:w="3168"/>
            </w:tblGrid>
            <w:tr w14:paraId="1CCC3913">
              <w:tblPrEx>
                <w:shd w:val="clear" w:color="auto" w:fill="FFFFFF"/>
                <w:tblCellMar>
                  <w:top w:w="15" w:type="dxa"/>
                  <w:left w:w="15" w:type="dxa"/>
                  <w:bottom w:w="15" w:type="dxa"/>
                  <w:right w:w="15" w:type="dxa"/>
                </w:tblCellMar>
              </w:tblPrEx>
              <w:tc>
                <w:tcPr>
                  <w:tcW w:w="3007" w:type="dxa"/>
                  <w:shd w:val="clear" w:color="auto" w:fill="FFFFFF"/>
                  <w:tcMar>
                    <w:top w:w="150" w:type="dxa"/>
                    <w:left w:w="0" w:type="dxa"/>
                    <w:bottom w:w="150" w:type="dxa"/>
                    <w:right w:w="0" w:type="dxa"/>
                  </w:tcMar>
                </w:tcPr>
                <w:p w14:paraId="2BCC314F">
                  <w:pPr>
                    <w:widowControl/>
                    <w:jc w:val="left"/>
                    <w:textAlignment w:val="top"/>
                    <w:rPr>
                      <w:rFonts w:ascii="����" w:hAnsi="����" w:eastAsia="����" w:cs="����"/>
                      <w:color w:val="333333"/>
                      <w:sz w:val="24"/>
                      <w:szCs w:val="24"/>
                    </w:rPr>
                  </w:pPr>
                  <w:r>
                    <w:rPr>
                      <w:rFonts w:hint="eastAsia" w:ascii="宋体" w:hAnsi="宋体" w:cs="宋体"/>
                      <w:color w:val="000000"/>
                      <w:kern w:val="0"/>
                      <w:sz w:val="19"/>
                      <w:szCs w:val="19"/>
                    </w:rPr>
                    <w:t>1、企业及实际控制人征信及各项社会记录较好。</w:t>
                  </w:r>
                </w:p>
                <w:p w14:paraId="1304C06C">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2、企业成立两年以上或实际控制人本行业经营两年以上。</w:t>
                  </w:r>
                </w:p>
                <w:p w14:paraId="40A92969">
                  <w:pPr>
                    <w:widowControl/>
                    <w:jc w:val="left"/>
                    <w:textAlignment w:val="top"/>
                    <w:rPr>
                      <w:rFonts w:ascii="����" w:hAnsi="����" w:eastAsia="����" w:cs="����"/>
                      <w:color w:val="333333"/>
                      <w:sz w:val="24"/>
                      <w:szCs w:val="24"/>
                    </w:rPr>
                  </w:pPr>
                  <w:r>
                    <w:rPr>
                      <w:rFonts w:hint="eastAsia" w:ascii="宋体" w:hAnsi="宋体" w:cs="宋体"/>
                      <w:color w:val="000000"/>
                      <w:kern w:val="0"/>
                      <w:sz w:val="19"/>
                      <w:szCs w:val="19"/>
                    </w:rPr>
                    <w:t>3、财务报表未出现连续两年经营亏损。</w:t>
                  </w:r>
                </w:p>
              </w:tc>
            </w:tr>
          </w:tbl>
          <w:p w14:paraId="76967697">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7E76A4D6">
            <w:pPr>
              <w:jc w:val="center"/>
              <w:rPr>
                <w:rFonts w:ascii="宋体" w:hAnsi="宋体" w:cs="宋体"/>
                <w:color w:val="000000"/>
                <w:kern w:val="0"/>
                <w:sz w:val="19"/>
                <w:szCs w:val="19"/>
              </w:rPr>
            </w:pPr>
            <w:r>
              <w:rPr>
                <w:rFonts w:hint="eastAsia" w:ascii="宋体" w:hAnsi="宋体" w:cs="宋体"/>
                <w:color w:val="000000"/>
                <w:kern w:val="0"/>
                <w:sz w:val="19"/>
                <w:szCs w:val="19"/>
              </w:rPr>
              <w:t>28301244</w:t>
            </w:r>
          </w:p>
        </w:tc>
      </w:tr>
      <w:tr w14:paraId="21AE12A8">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4986D491">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16</w:t>
            </w:r>
          </w:p>
        </w:tc>
        <w:tc>
          <w:tcPr>
            <w:tcW w:w="1001" w:type="dxa"/>
            <w:tcBorders>
              <w:top w:val="single" w:color="000000" w:sz="4" w:space="0"/>
              <w:left w:val="single" w:color="000000" w:sz="4" w:space="0"/>
              <w:bottom w:val="single" w:color="000000" w:sz="4" w:space="0"/>
              <w:right w:val="single" w:color="000000" w:sz="4" w:space="0"/>
            </w:tcBorders>
            <w:vAlign w:val="center"/>
          </w:tcPr>
          <w:p w14:paraId="29738331">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广发银行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2F8D2B54">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14:paraId="25B3D637">
            <w:pPr>
              <w:jc w:val="left"/>
              <w:rPr>
                <w:rFonts w:ascii="宋体" w:hAnsi="宋体" w:cs="宋体"/>
                <w:color w:val="000000"/>
                <w:kern w:val="0"/>
                <w:sz w:val="19"/>
                <w:szCs w:val="19"/>
              </w:rPr>
            </w:pPr>
            <w:r>
              <w:rPr>
                <w:rFonts w:hint="eastAsia" w:ascii="宋体" w:hAnsi="宋体" w:cs="宋体"/>
                <w:color w:val="000000"/>
                <w:kern w:val="0"/>
                <w:sz w:val="19"/>
                <w:szCs w:val="19"/>
              </w:rPr>
              <w:t>贷款利率最低Lpr</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融资额度：最高1000万元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3C35DA30">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20"/>
              <w:tblW w:w="5000" w:type="pct"/>
              <w:tblInd w:w="0" w:type="dxa"/>
              <w:shd w:val="clear" w:color="auto" w:fill="FFFFFF"/>
              <w:tblLayout w:type="fixed"/>
              <w:tblCellMar>
                <w:top w:w="15" w:type="dxa"/>
                <w:left w:w="15" w:type="dxa"/>
                <w:bottom w:w="15" w:type="dxa"/>
                <w:right w:w="15" w:type="dxa"/>
              </w:tblCellMar>
            </w:tblPr>
            <w:tblGrid>
              <w:gridCol w:w="3168"/>
            </w:tblGrid>
            <w:tr w14:paraId="62475D93">
              <w:tblPrEx>
                <w:shd w:val="clear" w:color="auto" w:fill="FFFFFF"/>
                <w:tblCellMar>
                  <w:top w:w="15" w:type="dxa"/>
                  <w:left w:w="15" w:type="dxa"/>
                  <w:bottom w:w="15" w:type="dxa"/>
                  <w:right w:w="15" w:type="dxa"/>
                </w:tblCellMar>
              </w:tblPrEx>
              <w:trPr>
                <w:trHeight w:val="2992" w:hRule="atLeast"/>
              </w:trPr>
              <w:tc>
                <w:tcPr>
                  <w:tcW w:w="3168" w:type="dxa"/>
                  <w:shd w:val="clear" w:color="auto" w:fill="FFFFFF"/>
                  <w:tcMar>
                    <w:top w:w="150" w:type="dxa"/>
                    <w:left w:w="0" w:type="dxa"/>
                    <w:bottom w:w="150" w:type="dxa"/>
                    <w:right w:w="0" w:type="dxa"/>
                  </w:tcMar>
                </w:tcPr>
                <w:p w14:paraId="659E6F50">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1、供应商至少有一次政府采购订单履约记录；</w:t>
                  </w:r>
                </w:p>
                <w:p w14:paraId="6680C93D">
                  <w:pPr>
                    <w:widowControl/>
                    <w:numPr>
                      <w:ilvl w:val="0"/>
                      <w:numId w:val="12"/>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在我行内部信用评级不低于BB+；3、近三年至少有一期营业利润或净利润或上年度经营性现金流净额为正（任选其一即可）；</w:t>
                  </w:r>
                </w:p>
                <w:p w14:paraId="5AEB516C">
                  <w:pPr>
                    <w:widowControl/>
                    <w:jc w:val="left"/>
                    <w:textAlignment w:val="top"/>
                    <w:rPr>
                      <w:rFonts w:ascii="����" w:hAnsi="����" w:eastAsia="����" w:cs="����"/>
                      <w:color w:val="333333"/>
                      <w:sz w:val="24"/>
                      <w:szCs w:val="24"/>
                    </w:rPr>
                  </w:pPr>
                  <w:r>
                    <w:rPr>
                      <w:rFonts w:hint="eastAsia" w:ascii="宋体" w:hAnsi="宋体" w:cs="宋体"/>
                      <w:color w:val="000000"/>
                      <w:kern w:val="0"/>
                      <w:sz w:val="19"/>
                      <w:szCs w:val="19"/>
                    </w:rPr>
                    <w:t>4、资产负债率不超过85%；企业主含实际控制人/主要股东或其配偶拥有本地户口或房产或在本地有连续一年含以上的社保缴交记录（满足其一即可）</w:t>
                  </w:r>
                </w:p>
              </w:tc>
            </w:tr>
          </w:tbl>
          <w:p w14:paraId="1F968365">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615C4876">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13820640544</w:t>
            </w:r>
          </w:p>
          <w:p w14:paraId="7A6EFB60">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胡小宁</w:t>
            </w:r>
          </w:p>
        </w:tc>
      </w:tr>
      <w:tr w14:paraId="01E798FC">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669F6591">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17</w:t>
            </w:r>
          </w:p>
        </w:tc>
        <w:tc>
          <w:tcPr>
            <w:tcW w:w="1001" w:type="dxa"/>
            <w:tcBorders>
              <w:top w:val="single" w:color="000000" w:sz="4" w:space="0"/>
              <w:left w:val="single" w:color="000000" w:sz="4" w:space="0"/>
              <w:bottom w:val="single" w:color="000000" w:sz="4" w:space="0"/>
              <w:right w:val="single" w:color="000000" w:sz="4" w:space="0"/>
            </w:tcBorders>
            <w:vAlign w:val="center"/>
          </w:tcPr>
          <w:p w14:paraId="659FFC6D">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浙商银行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5CDC81D3">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14:paraId="24D348D1">
            <w:pPr>
              <w:jc w:val="left"/>
              <w:rPr>
                <w:rFonts w:ascii="宋体" w:hAnsi="宋体" w:cs="宋体"/>
                <w:color w:val="000000"/>
                <w:kern w:val="0"/>
                <w:sz w:val="19"/>
                <w:szCs w:val="19"/>
              </w:rPr>
            </w:pPr>
            <w:r>
              <w:rPr>
                <w:rFonts w:hint="eastAsia" w:ascii="宋体" w:hAnsi="宋体" w:cs="宋体"/>
                <w:color w:val="000000"/>
                <w:kern w:val="0"/>
                <w:sz w:val="19"/>
                <w:szCs w:val="19"/>
              </w:rPr>
              <w:t>5%</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融资额度：最高1000万元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0F263D67">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20"/>
              <w:tblW w:w="5000" w:type="pct"/>
              <w:tblInd w:w="0" w:type="dxa"/>
              <w:shd w:val="clear" w:color="auto" w:fill="FFFFFF"/>
              <w:tblLayout w:type="fixed"/>
              <w:tblCellMar>
                <w:top w:w="15" w:type="dxa"/>
                <w:left w:w="15" w:type="dxa"/>
                <w:bottom w:w="15" w:type="dxa"/>
                <w:right w:w="15" w:type="dxa"/>
              </w:tblCellMar>
            </w:tblPr>
            <w:tblGrid>
              <w:gridCol w:w="3168"/>
            </w:tblGrid>
            <w:tr w14:paraId="196644DC">
              <w:tblPrEx>
                <w:shd w:val="clear" w:color="auto" w:fill="FFFFFF"/>
                <w:tblCellMar>
                  <w:top w:w="15" w:type="dxa"/>
                  <w:left w:w="15" w:type="dxa"/>
                  <w:bottom w:w="15" w:type="dxa"/>
                  <w:right w:w="15" w:type="dxa"/>
                </w:tblCellMar>
              </w:tblPrEx>
              <w:tc>
                <w:tcPr>
                  <w:tcW w:w="3007" w:type="dxa"/>
                  <w:shd w:val="clear" w:color="auto" w:fill="FFFFFF"/>
                  <w:tcMar>
                    <w:top w:w="150" w:type="dxa"/>
                    <w:left w:w="0" w:type="dxa"/>
                    <w:bottom w:w="150" w:type="dxa"/>
                    <w:right w:w="0" w:type="dxa"/>
                  </w:tcMar>
                </w:tcPr>
                <w:p w14:paraId="577B742F">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1、符合我行小企业授信客户界定标准的小型、微型企业；</w:t>
                  </w:r>
                </w:p>
                <w:p w14:paraId="3672ED51">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2、须连续经营2年及以上或实际控制人有3年及以上相关行业从业经验，经营状况良好，信用记录良好；3、与采购人无关联关系，行业相关证照齐全；</w:t>
                  </w:r>
                </w:p>
                <w:p w14:paraId="677B91AB">
                  <w:pPr>
                    <w:widowControl/>
                    <w:jc w:val="left"/>
                    <w:textAlignment w:val="top"/>
                    <w:rPr>
                      <w:rFonts w:ascii="����" w:hAnsi="����" w:eastAsia="����" w:cs="����"/>
                      <w:color w:val="333333"/>
                      <w:sz w:val="24"/>
                      <w:szCs w:val="24"/>
                    </w:rPr>
                  </w:pPr>
                  <w:r>
                    <w:rPr>
                      <w:rFonts w:hint="eastAsia" w:ascii="宋体" w:hAnsi="宋体" w:cs="宋体"/>
                      <w:color w:val="000000"/>
                      <w:kern w:val="0"/>
                      <w:sz w:val="19"/>
                      <w:szCs w:val="19"/>
                    </w:rPr>
                    <w:t>4、借款人须在本行开立单位结算账户或保证金账户，并将该账户指定为采购活动项下应收账款的唯一回款账户。</w:t>
                  </w:r>
                </w:p>
              </w:tc>
            </w:tr>
          </w:tbl>
          <w:p w14:paraId="4A5425A1">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33728DEA">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23271307</w:t>
            </w:r>
          </w:p>
          <w:p w14:paraId="29A2B413">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刘粲</w:t>
            </w:r>
          </w:p>
        </w:tc>
      </w:tr>
      <w:tr w14:paraId="6126C09E">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1A992559">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18</w:t>
            </w:r>
          </w:p>
        </w:tc>
        <w:tc>
          <w:tcPr>
            <w:tcW w:w="1001" w:type="dxa"/>
            <w:tcBorders>
              <w:top w:val="single" w:color="000000" w:sz="4" w:space="0"/>
              <w:left w:val="single" w:color="000000" w:sz="4" w:space="0"/>
              <w:bottom w:val="single" w:color="000000" w:sz="4" w:space="0"/>
              <w:right w:val="single" w:color="000000" w:sz="4" w:space="0"/>
            </w:tcBorders>
            <w:vAlign w:val="center"/>
          </w:tcPr>
          <w:p w14:paraId="74AE9478">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中信银行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24314003">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14:paraId="6EF783DC">
            <w:pPr>
              <w:jc w:val="left"/>
              <w:rPr>
                <w:rFonts w:ascii="宋体" w:hAnsi="宋体" w:cs="宋体"/>
                <w:color w:val="000000"/>
                <w:kern w:val="0"/>
                <w:sz w:val="19"/>
                <w:szCs w:val="19"/>
              </w:rPr>
            </w:pPr>
            <w:r>
              <w:rPr>
                <w:rFonts w:hint="eastAsia" w:ascii="宋体" w:hAnsi="宋体" w:cs="宋体"/>
                <w:color w:val="000000"/>
                <w:kern w:val="0"/>
                <w:sz w:val="19"/>
                <w:szCs w:val="19"/>
              </w:rPr>
              <w:t>3.75%-3.95%</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融资额度：最高1000万元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4C788D36">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7B00DB69">
            <w:pPr>
              <w:widowControl/>
              <w:numPr>
                <w:ilvl w:val="0"/>
                <w:numId w:val="13"/>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借款企业持续经营1年（含）以上或在本行业持续经营2年（含）以上；</w:t>
            </w:r>
          </w:p>
          <w:p w14:paraId="0672B2F9">
            <w:pPr>
              <w:widowControl/>
              <w:numPr>
                <w:ilvl w:val="0"/>
                <w:numId w:val="13"/>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借款企业实际控制人年龄在18周岁（含）至65周岁（含）之间；</w:t>
            </w:r>
          </w:p>
          <w:p w14:paraId="3EA2CA87">
            <w:pPr>
              <w:widowControl/>
              <w:numPr>
                <w:ilvl w:val="0"/>
                <w:numId w:val="13"/>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采购品类为货物类或服务类；</w:t>
            </w:r>
          </w:p>
          <w:p w14:paraId="7E4A67DE">
            <w:pPr>
              <w:widowControl/>
              <w:numPr>
                <w:ilvl w:val="0"/>
                <w:numId w:val="13"/>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借款企业政采合作月数不少于6个月；</w:t>
            </w: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488C4211">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13767182800</w:t>
            </w:r>
          </w:p>
          <w:p w14:paraId="28FB096D">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唐朝</w:t>
            </w:r>
          </w:p>
        </w:tc>
      </w:tr>
      <w:tr w14:paraId="401ED0A2">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62C97C96">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19</w:t>
            </w:r>
          </w:p>
        </w:tc>
        <w:tc>
          <w:tcPr>
            <w:tcW w:w="1001" w:type="dxa"/>
            <w:tcBorders>
              <w:top w:val="single" w:color="000000" w:sz="4" w:space="0"/>
              <w:left w:val="single" w:color="000000" w:sz="4" w:space="0"/>
              <w:bottom w:val="single" w:color="000000" w:sz="4" w:space="0"/>
              <w:right w:val="single" w:color="000000" w:sz="4" w:space="0"/>
            </w:tcBorders>
            <w:vAlign w:val="center"/>
          </w:tcPr>
          <w:p w14:paraId="5639B710">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后续持续更新</w:t>
            </w:r>
          </w:p>
        </w:tc>
        <w:tc>
          <w:tcPr>
            <w:tcW w:w="1292" w:type="dxa"/>
            <w:tcBorders>
              <w:top w:val="single" w:color="000000" w:sz="4" w:space="0"/>
              <w:left w:val="single" w:color="000000" w:sz="4" w:space="0"/>
              <w:bottom w:val="single" w:color="000000" w:sz="4" w:space="0"/>
              <w:right w:val="single" w:color="000000" w:sz="4" w:space="0"/>
            </w:tcBorders>
            <w:vAlign w:val="center"/>
          </w:tcPr>
          <w:p w14:paraId="21A6421F">
            <w:pPr>
              <w:jc w:val="left"/>
              <w:rPr>
                <w:rFonts w:ascii="宋体" w:hAnsi="宋体" w:cs="宋体"/>
                <w:color w:val="000000"/>
                <w:kern w:val="0"/>
                <w:sz w:val="19"/>
                <w:szCs w:val="19"/>
              </w:rPr>
            </w:pPr>
          </w:p>
        </w:tc>
        <w:tc>
          <w:tcPr>
            <w:tcW w:w="964" w:type="dxa"/>
            <w:tcBorders>
              <w:top w:val="single" w:color="000000" w:sz="4" w:space="0"/>
              <w:left w:val="single" w:color="000000" w:sz="4" w:space="0"/>
              <w:bottom w:val="single" w:color="000000" w:sz="4" w:space="0"/>
              <w:right w:val="single" w:color="000000" w:sz="4" w:space="0"/>
            </w:tcBorders>
            <w:vAlign w:val="center"/>
          </w:tcPr>
          <w:p w14:paraId="3E15724E">
            <w:pPr>
              <w:widowControl/>
              <w:jc w:val="left"/>
              <w:textAlignment w:val="top"/>
              <w:rPr>
                <w:rFonts w:ascii="宋体" w:hAnsi="宋体" w:cs="宋体"/>
                <w:color w:val="000000"/>
                <w:kern w:val="0"/>
                <w:sz w:val="19"/>
                <w:szCs w:val="19"/>
              </w:rPr>
            </w:pPr>
          </w:p>
        </w:tc>
        <w:tc>
          <w:tcPr>
            <w:tcW w:w="3384" w:type="dxa"/>
            <w:tcBorders>
              <w:top w:val="single" w:color="000000" w:sz="4" w:space="0"/>
              <w:left w:val="single" w:color="000000" w:sz="4" w:space="0"/>
              <w:bottom w:val="single" w:color="000000" w:sz="4" w:space="0"/>
              <w:right w:val="single" w:color="000000" w:sz="4" w:space="0"/>
            </w:tcBorders>
            <w:vAlign w:val="center"/>
          </w:tcPr>
          <w:p w14:paraId="620F8FE5">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116A8C3D">
            <w:pPr>
              <w:widowControl/>
              <w:jc w:val="center"/>
              <w:textAlignment w:val="top"/>
              <w:rPr>
                <w:rFonts w:ascii="宋体" w:hAnsi="宋体" w:cs="宋体"/>
                <w:color w:val="000000"/>
                <w:kern w:val="0"/>
                <w:sz w:val="19"/>
                <w:szCs w:val="19"/>
              </w:rPr>
            </w:pPr>
          </w:p>
        </w:tc>
      </w:tr>
    </w:tbl>
    <w:p w14:paraId="742CBF68">
      <w:pPr>
        <w:pStyle w:val="32"/>
        <w:spacing w:line="360" w:lineRule="auto"/>
        <w:ind w:firstLine="448" w:firstLineChars="200"/>
        <w:jc w:val="both"/>
        <w:rPr>
          <w:rFonts w:ascii="Times New Roman" w:eastAsia="宋体" w:cs="Times New Roman" w:hAnsiTheme="minorEastAsia"/>
          <w:color w:val="auto"/>
        </w:rPr>
      </w:pPr>
    </w:p>
    <w:p w14:paraId="65E17584">
      <w:pPr>
        <w:pStyle w:val="32"/>
        <w:spacing w:line="360" w:lineRule="auto"/>
        <w:ind w:firstLine="448" w:firstLineChars="200"/>
        <w:jc w:val="both"/>
        <w:rPr>
          <w:rFonts w:ascii="Times New Roman" w:hAnsi="Times New Roman" w:eastAsia="宋体" w:cs="Times New Roman"/>
          <w:color w:val="auto"/>
        </w:rPr>
      </w:pPr>
      <w:r>
        <w:rPr>
          <w:rFonts w:hint="eastAsia" w:ascii="Times New Roman" w:eastAsia="宋体" w:cs="Times New Roman" w:hAnsiTheme="minorEastAsia"/>
          <w:color w:val="auto"/>
        </w:rPr>
        <w:t>以上内容均为当前政策内容，未来不排除各大金融机构针对政采贷业务的相关政策会有修改和变动，本“政采贷”明白纸仅供参考，详情请自行致电咨询。</w:t>
      </w:r>
    </w:p>
    <w:p w14:paraId="41E5466D">
      <w:pPr>
        <w:widowControl/>
        <w:jc w:val="left"/>
        <w:rPr>
          <w:b/>
          <w:bCs/>
          <w:kern w:val="28"/>
          <w:sz w:val="32"/>
          <w:szCs w:val="32"/>
        </w:rPr>
      </w:pPr>
      <w:r>
        <w:br w:type="page"/>
      </w:r>
    </w:p>
    <w:p w14:paraId="7BB3E7E6">
      <w:pPr>
        <w:pStyle w:val="16"/>
        <w:ind w:left="386"/>
        <w:rPr>
          <w:rFonts w:ascii="Times New Roman" w:hAnsi="Times New Roman"/>
        </w:rPr>
      </w:pPr>
      <w:r>
        <w:rPr>
          <w:rFonts w:ascii="Times New Roman" w:hAnsiTheme="minorEastAsia"/>
        </w:rPr>
        <w:t>第四部分合同条款</w:t>
      </w:r>
    </w:p>
    <w:p w14:paraId="1F428CAA">
      <w:pPr>
        <w:snapToGrid w:val="0"/>
        <w:spacing w:line="360" w:lineRule="auto"/>
        <w:ind w:firstLine="448" w:firstLineChars="200"/>
        <w:rPr>
          <w:sz w:val="24"/>
          <w:szCs w:val="24"/>
        </w:rPr>
      </w:pPr>
      <w:r>
        <w:rPr>
          <w:rFonts w:hAnsiTheme="minorEastAsia"/>
          <w:b/>
          <w:bCs/>
          <w:sz w:val="24"/>
          <w:szCs w:val="24"/>
        </w:rPr>
        <w:t>采购人（甲方）：</w:t>
      </w:r>
    </w:p>
    <w:p w14:paraId="0BBF2462">
      <w:pPr>
        <w:snapToGrid w:val="0"/>
        <w:spacing w:line="360" w:lineRule="auto"/>
        <w:ind w:firstLine="448" w:firstLineChars="200"/>
        <w:rPr>
          <w:sz w:val="24"/>
          <w:szCs w:val="24"/>
        </w:rPr>
      </w:pPr>
      <w:r>
        <w:rPr>
          <w:rFonts w:hAnsiTheme="minorEastAsia"/>
          <w:b/>
          <w:bCs/>
          <w:sz w:val="24"/>
          <w:szCs w:val="24"/>
        </w:rPr>
        <w:t>供应商（乙方）：</w:t>
      </w:r>
    </w:p>
    <w:p w14:paraId="57D88EDE">
      <w:pPr>
        <w:spacing w:line="480" w:lineRule="exact"/>
        <w:ind w:firstLine="448" w:firstLineChars="200"/>
        <w:rPr>
          <w:sz w:val="24"/>
          <w:szCs w:val="24"/>
        </w:rPr>
      </w:pPr>
      <w:r>
        <w:rPr>
          <w:rFonts w:hAnsiTheme="minorEastAsia"/>
          <w:sz w:val="24"/>
          <w:szCs w:val="24"/>
        </w:rPr>
        <w:t>甲、乙双方根据项目（项目编号：</w:t>
      </w:r>
      <w:r>
        <w:rPr>
          <w:rFonts w:hint="eastAsia"/>
          <w:sz w:val="24"/>
          <w:szCs w:val="24"/>
        </w:rPr>
        <w:t xml:space="preserve">          </w:t>
      </w:r>
      <w:r>
        <w:rPr>
          <w:rFonts w:hAnsiTheme="minorEastAsia"/>
          <w:sz w:val="24"/>
          <w:szCs w:val="24"/>
        </w:rPr>
        <w:t>）的政府采购结果和招标文件（或采购文件）的要求，并经双方协商一致，达成本合同：</w:t>
      </w:r>
    </w:p>
    <w:p w14:paraId="12000763">
      <w:pPr>
        <w:numPr>
          <w:ilvl w:val="0"/>
          <w:numId w:val="14"/>
        </w:numPr>
        <w:tabs>
          <w:tab w:val="left" w:pos="0"/>
          <w:tab w:val="left" w:pos="315"/>
        </w:tabs>
        <w:spacing w:line="520" w:lineRule="exact"/>
        <w:rPr>
          <w:sz w:val="24"/>
          <w:szCs w:val="24"/>
        </w:rPr>
      </w:pPr>
      <w:r>
        <w:rPr>
          <w:rFonts w:hint="eastAsia"/>
          <w:sz w:val="24"/>
          <w:szCs w:val="24"/>
        </w:rPr>
        <w:t>本合同为中小企业预留合同</w:t>
      </w:r>
    </w:p>
    <w:p w14:paraId="3B29FCF5">
      <w:pPr>
        <w:numPr>
          <w:ilvl w:val="0"/>
          <w:numId w:val="14"/>
        </w:numPr>
        <w:tabs>
          <w:tab w:val="left" w:pos="0"/>
          <w:tab w:val="left" w:pos="315"/>
        </w:tabs>
        <w:spacing w:line="520" w:lineRule="exact"/>
        <w:rPr>
          <w:sz w:val="24"/>
          <w:szCs w:val="24"/>
        </w:rPr>
      </w:pPr>
      <w:r>
        <w:rPr>
          <w:rFonts w:hint="eastAsia"/>
          <w:sz w:val="24"/>
          <w:szCs w:val="24"/>
        </w:rPr>
        <w:t>本合同非中小企业预留合同</w:t>
      </w:r>
    </w:p>
    <w:p w14:paraId="42EFDC24">
      <w:pPr>
        <w:spacing w:line="480" w:lineRule="exact"/>
        <w:ind w:firstLine="448" w:firstLineChars="200"/>
        <w:rPr>
          <w:sz w:val="24"/>
          <w:szCs w:val="24"/>
        </w:rPr>
      </w:pPr>
      <w:r>
        <w:rPr>
          <w:rFonts w:hAnsiTheme="minorEastAsia"/>
          <w:sz w:val="24"/>
          <w:szCs w:val="24"/>
        </w:rPr>
        <w:t>第一条</w:t>
      </w:r>
      <w:r>
        <w:rPr>
          <w:rFonts w:hint="eastAsia" w:hAnsiTheme="minorEastAsia"/>
          <w:sz w:val="24"/>
          <w:szCs w:val="24"/>
        </w:rPr>
        <w:t xml:space="preserve"> </w:t>
      </w:r>
      <w:r>
        <w:rPr>
          <w:rFonts w:hAnsiTheme="minorEastAsia"/>
          <w:sz w:val="24"/>
          <w:szCs w:val="24"/>
        </w:rPr>
        <w:t>委托物业的基本情况</w:t>
      </w:r>
    </w:p>
    <w:p w14:paraId="5F65B9DE">
      <w:pPr>
        <w:spacing w:line="360" w:lineRule="auto"/>
        <w:ind w:firstLine="452" w:firstLineChars="202"/>
        <w:rPr>
          <w:sz w:val="24"/>
          <w:szCs w:val="24"/>
        </w:rPr>
      </w:pPr>
      <w:r>
        <w:rPr>
          <w:rFonts w:hAnsiTheme="minorEastAsia"/>
          <w:sz w:val="24"/>
          <w:szCs w:val="24"/>
        </w:rPr>
        <w:t>物业名称：</w:t>
      </w:r>
    </w:p>
    <w:p w14:paraId="657C0647">
      <w:pPr>
        <w:spacing w:line="360" w:lineRule="auto"/>
        <w:ind w:firstLine="452" w:firstLineChars="202"/>
        <w:rPr>
          <w:sz w:val="24"/>
          <w:szCs w:val="24"/>
        </w:rPr>
      </w:pPr>
      <w:r>
        <w:rPr>
          <w:rFonts w:hAnsiTheme="minorEastAsia"/>
          <w:sz w:val="24"/>
          <w:szCs w:val="24"/>
        </w:rPr>
        <w:t>物业类型：</w:t>
      </w:r>
    </w:p>
    <w:p w14:paraId="13D77421">
      <w:pPr>
        <w:spacing w:line="360" w:lineRule="auto"/>
        <w:ind w:firstLine="452" w:firstLineChars="202"/>
        <w:rPr>
          <w:sz w:val="24"/>
          <w:szCs w:val="24"/>
        </w:rPr>
      </w:pPr>
      <w:r>
        <w:rPr>
          <w:rFonts w:hint="eastAsia" w:hAnsiTheme="minorEastAsia"/>
          <w:sz w:val="24"/>
          <w:szCs w:val="24"/>
        </w:rPr>
        <w:t>坐落</w:t>
      </w:r>
      <w:r>
        <w:rPr>
          <w:rFonts w:hAnsiTheme="minorEastAsia"/>
          <w:sz w:val="24"/>
          <w:szCs w:val="24"/>
        </w:rPr>
        <w:t>位置：</w:t>
      </w:r>
    </w:p>
    <w:p w14:paraId="2FBCF9C0">
      <w:pPr>
        <w:spacing w:line="360" w:lineRule="auto"/>
        <w:ind w:firstLine="452" w:firstLineChars="202"/>
        <w:rPr>
          <w:sz w:val="24"/>
          <w:szCs w:val="24"/>
        </w:rPr>
      </w:pPr>
      <w:r>
        <w:rPr>
          <w:rFonts w:hAnsiTheme="minorEastAsia"/>
          <w:sz w:val="24"/>
          <w:szCs w:val="24"/>
        </w:rPr>
        <w:t>物业管理区域四至：</w:t>
      </w:r>
    </w:p>
    <w:p w14:paraId="1D0F32F5">
      <w:pPr>
        <w:spacing w:line="360" w:lineRule="auto"/>
        <w:ind w:firstLine="452" w:firstLineChars="202"/>
        <w:rPr>
          <w:sz w:val="24"/>
          <w:szCs w:val="24"/>
        </w:rPr>
      </w:pPr>
      <w:r>
        <w:rPr>
          <w:rFonts w:hAnsiTheme="minorEastAsia"/>
          <w:sz w:val="24"/>
          <w:szCs w:val="24"/>
        </w:rPr>
        <w:t>东至：南至：</w:t>
      </w:r>
    </w:p>
    <w:p w14:paraId="54BE237C">
      <w:pPr>
        <w:spacing w:line="360" w:lineRule="auto"/>
        <w:ind w:firstLine="452" w:firstLineChars="202"/>
        <w:rPr>
          <w:sz w:val="24"/>
          <w:szCs w:val="24"/>
        </w:rPr>
      </w:pPr>
      <w:r>
        <w:rPr>
          <w:rFonts w:hAnsiTheme="minorEastAsia"/>
          <w:sz w:val="24"/>
          <w:szCs w:val="24"/>
        </w:rPr>
        <w:t>西至：北至：</w:t>
      </w:r>
    </w:p>
    <w:p w14:paraId="63798966">
      <w:pPr>
        <w:spacing w:line="360" w:lineRule="auto"/>
        <w:ind w:firstLine="452" w:firstLineChars="202"/>
        <w:rPr>
          <w:sz w:val="24"/>
          <w:szCs w:val="24"/>
        </w:rPr>
      </w:pPr>
      <w:r>
        <w:rPr>
          <w:rFonts w:hAnsiTheme="minorEastAsia"/>
          <w:sz w:val="24"/>
          <w:szCs w:val="24"/>
        </w:rPr>
        <w:t>占地面积：大楼总建筑面积：</w:t>
      </w:r>
    </w:p>
    <w:p w14:paraId="56C95ADE">
      <w:pPr>
        <w:spacing w:line="360" w:lineRule="auto"/>
        <w:ind w:firstLine="452" w:firstLineChars="202"/>
        <w:rPr>
          <w:sz w:val="24"/>
          <w:szCs w:val="24"/>
        </w:rPr>
      </w:pPr>
      <w:r>
        <w:rPr>
          <w:rFonts w:hAnsiTheme="minorEastAsia"/>
          <w:sz w:val="24"/>
          <w:szCs w:val="24"/>
        </w:rPr>
        <w:t>其中：地上面积：平方米</w:t>
      </w:r>
    </w:p>
    <w:p w14:paraId="21407093">
      <w:pPr>
        <w:spacing w:line="360" w:lineRule="auto"/>
        <w:ind w:firstLine="452" w:firstLineChars="202"/>
        <w:rPr>
          <w:sz w:val="24"/>
          <w:szCs w:val="24"/>
        </w:rPr>
      </w:pPr>
      <w:r>
        <w:rPr>
          <w:rFonts w:hAnsiTheme="minorEastAsia"/>
          <w:sz w:val="24"/>
          <w:szCs w:val="24"/>
        </w:rPr>
        <w:t>地下面积：平方米</w:t>
      </w:r>
    </w:p>
    <w:p w14:paraId="21AC1FE3">
      <w:pPr>
        <w:spacing w:line="360" w:lineRule="auto"/>
        <w:ind w:firstLine="452" w:firstLineChars="202"/>
        <w:rPr>
          <w:sz w:val="24"/>
          <w:szCs w:val="24"/>
        </w:rPr>
      </w:pPr>
      <w:r>
        <w:rPr>
          <w:rFonts w:hAnsiTheme="minorEastAsia"/>
          <w:sz w:val="24"/>
          <w:szCs w:val="24"/>
        </w:rPr>
        <w:t>标准层面积：平方米</w:t>
      </w:r>
    </w:p>
    <w:p w14:paraId="6567E037">
      <w:pPr>
        <w:spacing w:line="360" w:lineRule="auto"/>
        <w:ind w:firstLine="452" w:firstLineChars="202"/>
        <w:rPr>
          <w:sz w:val="24"/>
          <w:szCs w:val="24"/>
        </w:rPr>
      </w:pPr>
      <w:r>
        <w:rPr>
          <w:rFonts w:hAnsiTheme="minorEastAsia"/>
          <w:sz w:val="24"/>
          <w:szCs w:val="24"/>
        </w:rPr>
        <w:t>人防建筑面积：平方米</w:t>
      </w:r>
    </w:p>
    <w:p w14:paraId="5557B217">
      <w:pPr>
        <w:spacing w:line="360" w:lineRule="auto"/>
        <w:ind w:firstLine="452" w:firstLineChars="202"/>
        <w:rPr>
          <w:sz w:val="24"/>
          <w:szCs w:val="24"/>
        </w:rPr>
      </w:pPr>
      <w:r>
        <w:rPr>
          <w:rFonts w:hAnsiTheme="minorEastAsia"/>
          <w:sz w:val="24"/>
          <w:szCs w:val="24"/>
        </w:rPr>
        <w:t>建筑层数：地上层，地下层</w:t>
      </w:r>
    </w:p>
    <w:p w14:paraId="6327BB19">
      <w:pPr>
        <w:spacing w:line="360" w:lineRule="auto"/>
        <w:ind w:firstLine="452" w:firstLineChars="202"/>
        <w:rPr>
          <w:sz w:val="24"/>
          <w:szCs w:val="24"/>
        </w:rPr>
      </w:pPr>
      <w:r>
        <w:rPr>
          <w:rFonts w:hAnsiTheme="minorEastAsia"/>
          <w:sz w:val="24"/>
          <w:szCs w:val="24"/>
        </w:rPr>
        <w:t>建筑尺寸：长：米，宽：米，高：米</w:t>
      </w:r>
    </w:p>
    <w:p w14:paraId="0ABE7398">
      <w:pPr>
        <w:spacing w:line="360" w:lineRule="auto"/>
        <w:ind w:firstLine="452" w:firstLineChars="202"/>
        <w:rPr>
          <w:sz w:val="24"/>
          <w:szCs w:val="24"/>
        </w:rPr>
      </w:pPr>
      <w:r>
        <w:rPr>
          <w:rFonts w:hAnsiTheme="minorEastAsia"/>
          <w:sz w:val="24"/>
          <w:szCs w:val="24"/>
        </w:rPr>
        <w:t>建筑层高：</w:t>
      </w:r>
    </w:p>
    <w:p w14:paraId="16A462CD">
      <w:pPr>
        <w:spacing w:line="360" w:lineRule="auto"/>
        <w:ind w:firstLine="452" w:firstLineChars="202"/>
        <w:rPr>
          <w:sz w:val="24"/>
          <w:szCs w:val="24"/>
        </w:rPr>
      </w:pPr>
      <w:r>
        <w:rPr>
          <w:rFonts w:hAnsiTheme="minorEastAsia"/>
          <w:sz w:val="24"/>
          <w:szCs w:val="24"/>
        </w:rPr>
        <w:t>建筑结构：</w:t>
      </w:r>
    </w:p>
    <w:p w14:paraId="3FEC7A32">
      <w:pPr>
        <w:spacing w:line="480" w:lineRule="exact"/>
        <w:ind w:firstLine="448" w:firstLineChars="200"/>
        <w:rPr>
          <w:sz w:val="24"/>
          <w:szCs w:val="24"/>
        </w:rPr>
      </w:pPr>
      <w:r>
        <w:rPr>
          <w:rFonts w:hAnsiTheme="minorEastAsia"/>
          <w:sz w:val="24"/>
          <w:szCs w:val="24"/>
        </w:rPr>
        <w:t>第二条</w:t>
      </w:r>
      <w:r>
        <w:rPr>
          <w:rFonts w:hint="eastAsia" w:hAnsiTheme="minorEastAsia"/>
          <w:sz w:val="24"/>
          <w:szCs w:val="24"/>
        </w:rPr>
        <w:t xml:space="preserve"> </w:t>
      </w:r>
      <w:r>
        <w:rPr>
          <w:rFonts w:hAnsiTheme="minorEastAsia"/>
          <w:sz w:val="24"/>
          <w:szCs w:val="24"/>
        </w:rPr>
        <w:t>物业服务内容及标准</w:t>
      </w:r>
    </w:p>
    <w:p w14:paraId="5F569E0B">
      <w:pPr>
        <w:spacing w:line="480" w:lineRule="exact"/>
        <w:ind w:firstLine="448" w:firstLineChars="200"/>
        <w:rPr>
          <w:spacing w:val="-20"/>
          <w:sz w:val="24"/>
          <w:szCs w:val="24"/>
          <w:bdr w:val="single" w:color="auto" w:sz="4" w:space="0"/>
        </w:rPr>
      </w:pPr>
      <w:r>
        <w:rPr>
          <w:rFonts w:hAnsiTheme="minorEastAsia"/>
          <w:sz w:val="24"/>
          <w:szCs w:val="24"/>
        </w:rPr>
        <w:t>（一）房屋本体和共用部位的维修、养护和管理：</w:t>
      </w:r>
    </w:p>
    <w:p w14:paraId="74EC0131">
      <w:pPr>
        <w:spacing w:line="480" w:lineRule="exact"/>
        <w:ind w:firstLine="368" w:firstLineChars="200"/>
        <w:rPr>
          <w:spacing w:val="-20"/>
          <w:sz w:val="24"/>
          <w:szCs w:val="24"/>
          <w:u w:val="single"/>
        </w:rPr>
      </w:pPr>
    </w:p>
    <w:p w14:paraId="4FFA3EBC">
      <w:pPr>
        <w:spacing w:line="480" w:lineRule="exact"/>
        <w:ind w:firstLine="448" w:firstLineChars="200"/>
        <w:rPr>
          <w:sz w:val="24"/>
          <w:szCs w:val="24"/>
        </w:rPr>
      </w:pPr>
      <w:r>
        <w:rPr>
          <w:rFonts w:hAnsiTheme="minorEastAsia"/>
          <w:sz w:val="24"/>
          <w:szCs w:val="24"/>
        </w:rPr>
        <w:t>（二）共用设施设备运行、维修、养护：</w:t>
      </w:r>
    </w:p>
    <w:p w14:paraId="033B5DE3">
      <w:pPr>
        <w:spacing w:line="480" w:lineRule="exact"/>
        <w:ind w:firstLine="448" w:firstLineChars="200"/>
        <w:rPr>
          <w:sz w:val="24"/>
          <w:szCs w:val="24"/>
        </w:rPr>
      </w:pPr>
      <w:r>
        <w:rPr>
          <w:sz w:val="24"/>
          <w:szCs w:val="24"/>
        </w:rPr>
        <w:t>1.</w:t>
      </w:r>
      <w:r>
        <w:rPr>
          <w:rFonts w:hAnsiTheme="minorEastAsia"/>
          <w:sz w:val="24"/>
          <w:szCs w:val="24"/>
        </w:rPr>
        <w:t>供、配电设施设备</w:t>
      </w:r>
      <w:r>
        <w:rPr>
          <w:sz w:val="24"/>
          <w:szCs w:val="24"/>
        </w:rPr>
        <w:t>:</w:t>
      </w:r>
    </w:p>
    <w:p w14:paraId="5611B0E1">
      <w:pPr>
        <w:spacing w:line="480" w:lineRule="exact"/>
        <w:ind w:firstLine="368" w:firstLineChars="200"/>
        <w:rPr>
          <w:spacing w:val="-20"/>
          <w:sz w:val="24"/>
          <w:szCs w:val="24"/>
          <w:u w:val="single"/>
        </w:rPr>
      </w:pPr>
    </w:p>
    <w:p w14:paraId="46DC2C5F">
      <w:pPr>
        <w:spacing w:line="480" w:lineRule="exact"/>
        <w:ind w:firstLine="448" w:firstLineChars="200"/>
        <w:rPr>
          <w:sz w:val="24"/>
          <w:szCs w:val="24"/>
        </w:rPr>
      </w:pPr>
      <w:r>
        <w:rPr>
          <w:sz w:val="24"/>
          <w:szCs w:val="24"/>
        </w:rPr>
        <w:t>2.</w:t>
      </w:r>
      <w:r>
        <w:rPr>
          <w:rFonts w:hAnsiTheme="minorEastAsia"/>
          <w:sz w:val="24"/>
          <w:szCs w:val="24"/>
        </w:rPr>
        <w:t>给、排水设施设备</w:t>
      </w:r>
      <w:r>
        <w:rPr>
          <w:sz w:val="24"/>
          <w:szCs w:val="24"/>
        </w:rPr>
        <w:t>:</w:t>
      </w:r>
    </w:p>
    <w:p w14:paraId="224E75C9">
      <w:pPr>
        <w:spacing w:line="480" w:lineRule="exact"/>
        <w:ind w:firstLine="368" w:firstLineChars="200"/>
        <w:rPr>
          <w:spacing w:val="-20"/>
          <w:sz w:val="24"/>
          <w:szCs w:val="24"/>
          <w:u w:val="single"/>
        </w:rPr>
      </w:pPr>
    </w:p>
    <w:p w14:paraId="4EDCD69D">
      <w:pPr>
        <w:spacing w:line="480" w:lineRule="exact"/>
        <w:ind w:firstLine="448" w:firstLineChars="200"/>
        <w:rPr>
          <w:sz w:val="24"/>
          <w:szCs w:val="24"/>
        </w:rPr>
      </w:pPr>
      <w:r>
        <w:rPr>
          <w:sz w:val="24"/>
          <w:szCs w:val="24"/>
        </w:rPr>
        <w:t>3.</w:t>
      </w:r>
      <w:r>
        <w:rPr>
          <w:rFonts w:hAnsiTheme="minorEastAsia"/>
          <w:sz w:val="24"/>
          <w:szCs w:val="24"/>
        </w:rPr>
        <w:t>升降系统</w:t>
      </w:r>
      <w:r>
        <w:rPr>
          <w:sz w:val="24"/>
          <w:szCs w:val="24"/>
        </w:rPr>
        <w:t>:</w:t>
      </w:r>
    </w:p>
    <w:p w14:paraId="3DC52995">
      <w:pPr>
        <w:spacing w:line="480" w:lineRule="exact"/>
        <w:ind w:firstLine="368" w:firstLineChars="200"/>
        <w:rPr>
          <w:spacing w:val="-20"/>
          <w:sz w:val="24"/>
          <w:szCs w:val="24"/>
          <w:u w:val="single"/>
        </w:rPr>
      </w:pPr>
    </w:p>
    <w:p w14:paraId="22589CBC">
      <w:pPr>
        <w:spacing w:line="480" w:lineRule="exact"/>
        <w:ind w:firstLine="448" w:firstLineChars="200"/>
        <w:rPr>
          <w:sz w:val="24"/>
          <w:szCs w:val="24"/>
        </w:rPr>
      </w:pPr>
      <w:r>
        <w:rPr>
          <w:sz w:val="24"/>
          <w:szCs w:val="24"/>
        </w:rPr>
        <w:t>4.</w:t>
      </w:r>
      <w:r>
        <w:rPr>
          <w:rFonts w:hAnsiTheme="minorEastAsia"/>
          <w:sz w:val="24"/>
          <w:szCs w:val="24"/>
        </w:rPr>
        <w:t>消防系统</w:t>
      </w:r>
      <w:r>
        <w:rPr>
          <w:sz w:val="24"/>
          <w:szCs w:val="24"/>
        </w:rPr>
        <w:t>:</w:t>
      </w:r>
    </w:p>
    <w:p w14:paraId="2EFD558F">
      <w:pPr>
        <w:spacing w:line="480" w:lineRule="exact"/>
        <w:ind w:firstLine="368" w:firstLineChars="200"/>
        <w:rPr>
          <w:spacing w:val="-20"/>
          <w:sz w:val="24"/>
          <w:szCs w:val="24"/>
          <w:u w:val="single"/>
        </w:rPr>
      </w:pPr>
    </w:p>
    <w:p w14:paraId="15B65904">
      <w:pPr>
        <w:spacing w:line="480" w:lineRule="exact"/>
        <w:ind w:firstLine="448" w:firstLineChars="200"/>
        <w:rPr>
          <w:sz w:val="24"/>
          <w:szCs w:val="24"/>
        </w:rPr>
      </w:pPr>
      <w:r>
        <w:rPr>
          <w:sz w:val="24"/>
          <w:szCs w:val="24"/>
        </w:rPr>
        <w:t>5.</w:t>
      </w:r>
      <w:r>
        <w:rPr>
          <w:rFonts w:hAnsiTheme="minorEastAsia"/>
          <w:sz w:val="24"/>
          <w:szCs w:val="24"/>
        </w:rPr>
        <w:t>空气调节系统</w:t>
      </w:r>
      <w:r>
        <w:rPr>
          <w:sz w:val="24"/>
          <w:szCs w:val="24"/>
        </w:rPr>
        <w:t>:</w:t>
      </w:r>
    </w:p>
    <w:p w14:paraId="1D40F742">
      <w:pPr>
        <w:spacing w:line="480" w:lineRule="exact"/>
        <w:ind w:firstLine="368" w:firstLineChars="200"/>
        <w:rPr>
          <w:spacing w:val="-20"/>
          <w:sz w:val="24"/>
          <w:szCs w:val="24"/>
          <w:u w:val="single"/>
        </w:rPr>
      </w:pPr>
    </w:p>
    <w:p w14:paraId="470D0C78">
      <w:pPr>
        <w:spacing w:line="480" w:lineRule="exact"/>
        <w:ind w:firstLine="448" w:firstLineChars="200"/>
        <w:rPr>
          <w:sz w:val="24"/>
          <w:szCs w:val="24"/>
        </w:rPr>
      </w:pPr>
      <w:r>
        <w:rPr>
          <w:sz w:val="24"/>
          <w:szCs w:val="24"/>
        </w:rPr>
        <w:t>6.</w:t>
      </w:r>
      <w:r>
        <w:rPr>
          <w:rFonts w:hAnsiTheme="minorEastAsia"/>
          <w:sz w:val="24"/>
          <w:szCs w:val="24"/>
        </w:rPr>
        <w:t>智能化系统</w:t>
      </w:r>
      <w:r>
        <w:rPr>
          <w:sz w:val="24"/>
          <w:szCs w:val="24"/>
        </w:rPr>
        <w:t>:</w:t>
      </w:r>
    </w:p>
    <w:p w14:paraId="43CD929F">
      <w:pPr>
        <w:spacing w:line="480" w:lineRule="exact"/>
        <w:ind w:firstLine="368" w:firstLineChars="200"/>
        <w:rPr>
          <w:spacing w:val="-20"/>
          <w:sz w:val="24"/>
          <w:szCs w:val="24"/>
          <w:u w:val="single"/>
        </w:rPr>
      </w:pPr>
    </w:p>
    <w:p w14:paraId="231F86C0">
      <w:pPr>
        <w:spacing w:line="480" w:lineRule="exact"/>
        <w:ind w:firstLine="448" w:firstLineChars="200"/>
        <w:rPr>
          <w:sz w:val="24"/>
          <w:szCs w:val="24"/>
        </w:rPr>
      </w:pPr>
      <w:r>
        <w:rPr>
          <w:sz w:val="24"/>
          <w:szCs w:val="24"/>
        </w:rPr>
        <w:t>7.</w:t>
      </w:r>
      <w:r>
        <w:rPr>
          <w:rFonts w:hAnsiTheme="minorEastAsia"/>
          <w:sz w:val="24"/>
          <w:szCs w:val="24"/>
        </w:rPr>
        <w:t>楼宇自动化系统（通讯系统等）</w:t>
      </w:r>
      <w:r>
        <w:rPr>
          <w:sz w:val="24"/>
          <w:szCs w:val="24"/>
        </w:rPr>
        <w:t>:</w:t>
      </w:r>
    </w:p>
    <w:p w14:paraId="17A13E93">
      <w:pPr>
        <w:spacing w:line="480" w:lineRule="exact"/>
        <w:ind w:firstLine="368" w:firstLineChars="200"/>
        <w:rPr>
          <w:spacing w:val="-20"/>
          <w:sz w:val="24"/>
          <w:szCs w:val="24"/>
          <w:u w:val="single"/>
        </w:rPr>
      </w:pPr>
    </w:p>
    <w:p w14:paraId="24C8B6F4">
      <w:pPr>
        <w:spacing w:line="480" w:lineRule="exact"/>
        <w:ind w:firstLine="448" w:firstLineChars="200"/>
        <w:rPr>
          <w:sz w:val="24"/>
          <w:szCs w:val="24"/>
        </w:rPr>
      </w:pPr>
      <w:r>
        <w:rPr>
          <w:sz w:val="24"/>
          <w:szCs w:val="24"/>
        </w:rPr>
        <w:t>8.</w:t>
      </w:r>
      <w:r>
        <w:rPr>
          <w:rFonts w:hAnsiTheme="minorEastAsia"/>
          <w:sz w:val="24"/>
          <w:szCs w:val="24"/>
        </w:rPr>
        <w:t>停车场管理系统</w:t>
      </w:r>
      <w:r>
        <w:rPr>
          <w:sz w:val="24"/>
          <w:szCs w:val="24"/>
        </w:rPr>
        <w:t>:</w:t>
      </w:r>
    </w:p>
    <w:p w14:paraId="5E299933">
      <w:pPr>
        <w:spacing w:line="480" w:lineRule="exact"/>
        <w:ind w:firstLine="368" w:firstLineChars="200"/>
        <w:rPr>
          <w:spacing w:val="-20"/>
          <w:sz w:val="24"/>
          <w:szCs w:val="24"/>
          <w:u w:val="single"/>
        </w:rPr>
      </w:pPr>
    </w:p>
    <w:p w14:paraId="0428652F">
      <w:pPr>
        <w:spacing w:line="480" w:lineRule="exact"/>
        <w:ind w:firstLine="448" w:firstLineChars="200"/>
        <w:rPr>
          <w:sz w:val="24"/>
          <w:szCs w:val="24"/>
        </w:rPr>
      </w:pPr>
      <w:r>
        <w:rPr>
          <w:sz w:val="24"/>
          <w:szCs w:val="24"/>
        </w:rPr>
        <w:t>9.</w:t>
      </w:r>
      <w:r>
        <w:rPr>
          <w:rFonts w:hAnsiTheme="minorEastAsia"/>
          <w:sz w:val="24"/>
          <w:szCs w:val="24"/>
        </w:rPr>
        <w:t>其他</w:t>
      </w:r>
      <w:r>
        <w:rPr>
          <w:sz w:val="24"/>
          <w:szCs w:val="24"/>
        </w:rPr>
        <w:t>:</w:t>
      </w:r>
    </w:p>
    <w:p w14:paraId="3CEC0C72">
      <w:pPr>
        <w:spacing w:line="480" w:lineRule="exact"/>
        <w:ind w:firstLine="368" w:firstLineChars="200"/>
        <w:rPr>
          <w:spacing w:val="-20"/>
          <w:sz w:val="24"/>
          <w:szCs w:val="24"/>
          <w:u w:val="single"/>
        </w:rPr>
      </w:pPr>
    </w:p>
    <w:p w14:paraId="455E2E32">
      <w:pPr>
        <w:spacing w:line="480" w:lineRule="exact"/>
        <w:ind w:firstLine="448" w:firstLineChars="200"/>
        <w:rPr>
          <w:sz w:val="24"/>
          <w:szCs w:val="24"/>
        </w:rPr>
      </w:pPr>
      <w:r>
        <w:rPr>
          <w:rFonts w:hAnsiTheme="minorEastAsia"/>
          <w:sz w:val="24"/>
          <w:szCs w:val="24"/>
        </w:rPr>
        <w:t>（三）共用部位和共用场地的环境保洁和绿化养护：</w:t>
      </w:r>
    </w:p>
    <w:p w14:paraId="254EECB4">
      <w:pPr>
        <w:spacing w:line="480" w:lineRule="exact"/>
        <w:ind w:firstLine="368" w:firstLineChars="200"/>
        <w:rPr>
          <w:spacing w:val="-20"/>
          <w:sz w:val="24"/>
          <w:szCs w:val="24"/>
          <w:u w:val="single"/>
        </w:rPr>
      </w:pPr>
    </w:p>
    <w:p w14:paraId="4EF605ED">
      <w:pPr>
        <w:spacing w:line="480" w:lineRule="exact"/>
        <w:ind w:firstLine="448" w:firstLineChars="200"/>
        <w:rPr>
          <w:sz w:val="24"/>
          <w:szCs w:val="24"/>
        </w:rPr>
      </w:pPr>
      <w:r>
        <w:rPr>
          <w:rFonts w:hAnsiTheme="minorEastAsia"/>
          <w:sz w:val="24"/>
          <w:szCs w:val="24"/>
        </w:rPr>
        <w:t>（四）物业装饰装修的管理：</w:t>
      </w:r>
    </w:p>
    <w:p w14:paraId="5B7C7089">
      <w:pPr>
        <w:spacing w:line="480" w:lineRule="exact"/>
        <w:ind w:firstLine="368" w:firstLineChars="200"/>
        <w:rPr>
          <w:spacing w:val="-20"/>
          <w:sz w:val="24"/>
          <w:szCs w:val="24"/>
          <w:u w:val="single"/>
        </w:rPr>
      </w:pPr>
    </w:p>
    <w:p w14:paraId="712B24C6">
      <w:pPr>
        <w:spacing w:line="480" w:lineRule="exact"/>
        <w:ind w:firstLine="448" w:firstLineChars="200"/>
        <w:rPr>
          <w:sz w:val="24"/>
          <w:szCs w:val="24"/>
          <w:bdr w:val="single" w:color="auto" w:sz="4" w:space="0"/>
        </w:rPr>
      </w:pPr>
      <w:r>
        <w:rPr>
          <w:rFonts w:hAnsiTheme="minorEastAsia"/>
          <w:sz w:val="24"/>
          <w:szCs w:val="24"/>
        </w:rPr>
        <w:t>（五）车辆行驶和停放秩序的服务、管理：</w:t>
      </w:r>
    </w:p>
    <w:p w14:paraId="672A2008">
      <w:pPr>
        <w:spacing w:line="480" w:lineRule="exact"/>
        <w:ind w:firstLine="368" w:firstLineChars="200"/>
        <w:rPr>
          <w:spacing w:val="-20"/>
          <w:sz w:val="24"/>
          <w:szCs w:val="24"/>
          <w:u w:val="single"/>
        </w:rPr>
      </w:pPr>
    </w:p>
    <w:p w14:paraId="612A6E80">
      <w:pPr>
        <w:spacing w:line="480" w:lineRule="exact"/>
        <w:ind w:firstLine="448" w:firstLineChars="200"/>
        <w:rPr>
          <w:sz w:val="24"/>
          <w:szCs w:val="24"/>
          <w:bdr w:val="single" w:color="auto" w:sz="4" w:space="0"/>
        </w:rPr>
      </w:pPr>
      <w:r>
        <w:rPr>
          <w:rFonts w:hAnsiTheme="minorEastAsia"/>
          <w:sz w:val="24"/>
          <w:szCs w:val="24"/>
        </w:rPr>
        <w:t>（六）物业管理区域内公共秩序的维护和消防管理：</w:t>
      </w:r>
    </w:p>
    <w:p w14:paraId="199E66A9">
      <w:pPr>
        <w:spacing w:line="480" w:lineRule="exact"/>
        <w:ind w:firstLine="368" w:firstLineChars="200"/>
        <w:rPr>
          <w:spacing w:val="-20"/>
          <w:sz w:val="24"/>
          <w:szCs w:val="24"/>
          <w:u w:val="single"/>
        </w:rPr>
      </w:pPr>
    </w:p>
    <w:p w14:paraId="599B6D33">
      <w:pPr>
        <w:spacing w:line="480" w:lineRule="exact"/>
        <w:ind w:firstLine="448" w:firstLineChars="200"/>
        <w:rPr>
          <w:sz w:val="24"/>
          <w:szCs w:val="24"/>
        </w:rPr>
      </w:pPr>
      <w:r>
        <w:rPr>
          <w:rFonts w:hAnsiTheme="minorEastAsia"/>
          <w:sz w:val="24"/>
          <w:szCs w:val="24"/>
        </w:rPr>
        <w:t>（七）物业档案的建立、保管和使用：</w:t>
      </w:r>
    </w:p>
    <w:p w14:paraId="7B21B95B">
      <w:pPr>
        <w:spacing w:line="480" w:lineRule="exact"/>
        <w:ind w:firstLine="368" w:firstLineChars="200"/>
        <w:rPr>
          <w:spacing w:val="-20"/>
          <w:sz w:val="24"/>
          <w:szCs w:val="24"/>
          <w:u w:val="single"/>
        </w:rPr>
      </w:pPr>
    </w:p>
    <w:p w14:paraId="4D23F5F5">
      <w:pPr>
        <w:spacing w:line="480" w:lineRule="exact"/>
        <w:ind w:firstLine="448" w:firstLineChars="200"/>
        <w:rPr>
          <w:sz w:val="24"/>
          <w:szCs w:val="24"/>
        </w:rPr>
      </w:pPr>
      <w:r>
        <w:rPr>
          <w:rFonts w:hAnsiTheme="minorEastAsia"/>
          <w:sz w:val="24"/>
          <w:szCs w:val="24"/>
        </w:rPr>
        <w:t>（八）其他委托事项：</w:t>
      </w:r>
    </w:p>
    <w:p w14:paraId="59C97163">
      <w:pPr>
        <w:spacing w:line="480" w:lineRule="exact"/>
        <w:ind w:firstLine="448" w:firstLineChars="200"/>
        <w:rPr>
          <w:sz w:val="24"/>
          <w:szCs w:val="24"/>
        </w:rPr>
      </w:pPr>
      <w:r>
        <w:rPr>
          <w:sz w:val="24"/>
          <w:szCs w:val="24"/>
        </w:rPr>
        <w:t>1</w:t>
      </w:r>
      <w:r>
        <w:rPr>
          <w:rFonts w:hAnsiTheme="minorEastAsia"/>
          <w:sz w:val="24"/>
          <w:szCs w:val="24"/>
        </w:rPr>
        <w:t>、</w:t>
      </w:r>
    </w:p>
    <w:p w14:paraId="44008DB4">
      <w:pPr>
        <w:spacing w:line="480" w:lineRule="exact"/>
        <w:ind w:firstLine="448" w:firstLineChars="200"/>
        <w:rPr>
          <w:sz w:val="24"/>
          <w:szCs w:val="24"/>
        </w:rPr>
      </w:pPr>
      <w:r>
        <w:rPr>
          <w:sz w:val="24"/>
          <w:szCs w:val="24"/>
        </w:rPr>
        <w:t>2</w:t>
      </w:r>
      <w:r>
        <w:rPr>
          <w:rFonts w:hAnsiTheme="minorEastAsia"/>
          <w:sz w:val="24"/>
          <w:szCs w:val="24"/>
        </w:rPr>
        <w:t>、</w:t>
      </w:r>
    </w:p>
    <w:p w14:paraId="24966C86">
      <w:pPr>
        <w:spacing w:line="480" w:lineRule="exact"/>
        <w:ind w:firstLine="448" w:firstLineChars="200"/>
        <w:rPr>
          <w:sz w:val="24"/>
          <w:szCs w:val="24"/>
          <w:u w:val="single"/>
        </w:rPr>
      </w:pPr>
      <w:r>
        <w:rPr>
          <w:sz w:val="24"/>
          <w:szCs w:val="24"/>
        </w:rPr>
        <w:t>3</w:t>
      </w:r>
      <w:r>
        <w:rPr>
          <w:rFonts w:hAnsiTheme="minorEastAsia"/>
          <w:sz w:val="24"/>
          <w:szCs w:val="24"/>
        </w:rPr>
        <w:t>、</w:t>
      </w:r>
    </w:p>
    <w:p w14:paraId="62BF44E6">
      <w:pPr>
        <w:spacing w:line="480" w:lineRule="exact"/>
        <w:ind w:firstLine="448" w:firstLineChars="200"/>
        <w:rPr>
          <w:sz w:val="24"/>
          <w:szCs w:val="24"/>
        </w:rPr>
      </w:pPr>
      <w:r>
        <w:rPr>
          <w:rFonts w:hAnsiTheme="minorEastAsia"/>
          <w:sz w:val="24"/>
          <w:szCs w:val="24"/>
        </w:rPr>
        <w:t>第三条</w:t>
      </w:r>
      <w:r>
        <w:rPr>
          <w:rFonts w:hint="eastAsia" w:hAnsiTheme="minorEastAsia"/>
          <w:sz w:val="24"/>
          <w:szCs w:val="24"/>
        </w:rPr>
        <w:t xml:space="preserve"> </w:t>
      </w:r>
      <w:r>
        <w:rPr>
          <w:rFonts w:hAnsiTheme="minorEastAsia"/>
          <w:sz w:val="24"/>
          <w:szCs w:val="24"/>
        </w:rPr>
        <w:t>物业服务合同期限</w:t>
      </w:r>
    </w:p>
    <w:p w14:paraId="3B70F83F">
      <w:pPr>
        <w:spacing w:line="480" w:lineRule="exact"/>
        <w:ind w:firstLine="448" w:firstLineChars="200"/>
        <w:rPr>
          <w:color w:val="FF0000"/>
          <w:sz w:val="24"/>
          <w:szCs w:val="24"/>
        </w:rPr>
      </w:pPr>
      <w:r>
        <w:rPr>
          <w:rFonts w:hAnsiTheme="minorEastAsia"/>
          <w:sz w:val="24"/>
          <w:szCs w:val="24"/>
        </w:rPr>
        <w:t>物业服务合同期限为年。</w:t>
      </w:r>
    </w:p>
    <w:p w14:paraId="6863F6BA">
      <w:pPr>
        <w:spacing w:line="480" w:lineRule="exact"/>
        <w:ind w:firstLine="448" w:firstLineChars="200"/>
        <w:rPr>
          <w:sz w:val="24"/>
          <w:szCs w:val="24"/>
        </w:rPr>
      </w:pPr>
      <w:r>
        <w:rPr>
          <w:rFonts w:hAnsiTheme="minorEastAsia"/>
          <w:sz w:val="24"/>
          <w:szCs w:val="24"/>
        </w:rPr>
        <w:t>自年月日起至年月日终止。</w:t>
      </w:r>
    </w:p>
    <w:p w14:paraId="5AB41CA4">
      <w:pPr>
        <w:spacing w:line="480" w:lineRule="exact"/>
        <w:ind w:firstLine="448" w:firstLineChars="200"/>
        <w:rPr>
          <w:sz w:val="24"/>
          <w:szCs w:val="24"/>
        </w:rPr>
      </w:pPr>
      <w:r>
        <w:rPr>
          <w:rFonts w:hAnsiTheme="minorEastAsia"/>
          <w:sz w:val="24"/>
          <w:szCs w:val="24"/>
        </w:rPr>
        <w:t>第四条</w:t>
      </w:r>
      <w:r>
        <w:rPr>
          <w:rFonts w:hint="eastAsia" w:hAnsiTheme="minorEastAsia"/>
          <w:sz w:val="24"/>
          <w:szCs w:val="24"/>
        </w:rPr>
        <w:t xml:space="preserve"> </w:t>
      </w:r>
      <w:r>
        <w:rPr>
          <w:rFonts w:hAnsiTheme="minorEastAsia"/>
          <w:sz w:val="24"/>
          <w:szCs w:val="24"/>
        </w:rPr>
        <w:t>甲方权利义务</w:t>
      </w:r>
    </w:p>
    <w:p w14:paraId="23DAE414">
      <w:pPr>
        <w:spacing w:line="480" w:lineRule="exact"/>
        <w:ind w:firstLine="448" w:firstLineChars="200"/>
        <w:rPr>
          <w:sz w:val="24"/>
          <w:szCs w:val="24"/>
        </w:rPr>
      </w:pPr>
      <w:r>
        <w:rPr>
          <w:rFonts w:hAnsiTheme="minorEastAsia"/>
          <w:sz w:val="24"/>
          <w:szCs w:val="24"/>
        </w:rPr>
        <w:t>（一）代表和维护采购人所有人员在物业管理服务活动中的合法权益；</w:t>
      </w:r>
    </w:p>
    <w:p w14:paraId="15396705">
      <w:pPr>
        <w:spacing w:line="480" w:lineRule="exact"/>
        <w:ind w:firstLine="448" w:firstLineChars="200"/>
        <w:rPr>
          <w:sz w:val="24"/>
          <w:szCs w:val="24"/>
        </w:rPr>
      </w:pPr>
      <w:r>
        <w:rPr>
          <w:rFonts w:hAnsiTheme="minorEastAsia"/>
          <w:sz w:val="24"/>
          <w:szCs w:val="24"/>
        </w:rPr>
        <w:t>（二）制定、修改管理规约，监督采购人所有人员遵守管理规约；</w:t>
      </w:r>
    </w:p>
    <w:p w14:paraId="23A5C2BB">
      <w:pPr>
        <w:spacing w:line="480" w:lineRule="exact"/>
        <w:ind w:firstLine="448" w:firstLineChars="200"/>
        <w:rPr>
          <w:sz w:val="24"/>
          <w:szCs w:val="24"/>
        </w:rPr>
      </w:pPr>
      <w:r>
        <w:rPr>
          <w:rFonts w:hAnsiTheme="minorEastAsia"/>
          <w:sz w:val="24"/>
          <w:szCs w:val="24"/>
        </w:rPr>
        <w:t>（三）审定物业服务合同内容，选聘、解聘物业服务企业；</w:t>
      </w:r>
    </w:p>
    <w:p w14:paraId="414D4CA8">
      <w:pPr>
        <w:spacing w:line="480" w:lineRule="exact"/>
        <w:ind w:firstLine="448" w:firstLineChars="200"/>
        <w:rPr>
          <w:sz w:val="24"/>
          <w:szCs w:val="24"/>
        </w:rPr>
      </w:pPr>
      <w:r>
        <w:rPr>
          <w:rFonts w:hAnsiTheme="minorEastAsia"/>
          <w:sz w:val="24"/>
          <w:szCs w:val="24"/>
        </w:rPr>
        <w:t>（四）审定乙方提出的物业管理服务年度计划及管理制度，监督并配合乙方管理服务工作的实施及制度的执行；</w:t>
      </w:r>
    </w:p>
    <w:p w14:paraId="4A058A88">
      <w:pPr>
        <w:spacing w:line="480" w:lineRule="exact"/>
        <w:ind w:firstLine="448" w:firstLineChars="200"/>
        <w:rPr>
          <w:sz w:val="24"/>
          <w:szCs w:val="24"/>
        </w:rPr>
      </w:pPr>
      <w:r>
        <w:rPr>
          <w:rFonts w:hAnsiTheme="minorEastAsia"/>
          <w:sz w:val="24"/>
          <w:szCs w:val="24"/>
        </w:rPr>
        <w:t>（五）制定、修改、审议物业管理区域内共用部位和共用设施设备的使用、公共秩序和环境卫生的维护等方面的规章制度或者物业服务企业提出的其他管理事项；</w:t>
      </w:r>
    </w:p>
    <w:p w14:paraId="61895FA1">
      <w:pPr>
        <w:spacing w:line="480" w:lineRule="exact"/>
        <w:ind w:firstLine="448" w:firstLineChars="200"/>
        <w:rPr>
          <w:sz w:val="24"/>
          <w:szCs w:val="24"/>
        </w:rPr>
      </w:pPr>
      <w:r>
        <w:rPr>
          <w:rFonts w:hAnsiTheme="minorEastAsia"/>
          <w:sz w:val="24"/>
          <w:szCs w:val="24"/>
        </w:rPr>
        <w:t>（六）负责提供物业管理服务所需相关文件和资料；</w:t>
      </w:r>
    </w:p>
    <w:p w14:paraId="729C419B">
      <w:pPr>
        <w:spacing w:line="480" w:lineRule="exact"/>
        <w:ind w:firstLine="448" w:firstLineChars="200"/>
        <w:rPr>
          <w:sz w:val="24"/>
          <w:szCs w:val="24"/>
        </w:rPr>
      </w:pPr>
      <w:r>
        <w:rPr>
          <w:rFonts w:hAnsiTheme="minorEastAsia"/>
          <w:sz w:val="24"/>
          <w:szCs w:val="24"/>
        </w:rPr>
        <w:t>（七）其他：</w:t>
      </w:r>
    </w:p>
    <w:p w14:paraId="72E3D1BF">
      <w:pPr>
        <w:spacing w:line="480" w:lineRule="exact"/>
        <w:ind w:firstLine="448" w:firstLineChars="200"/>
        <w:rPr>
          <w:sz w:val="24"/>
          <w:szCs w:val="24"/>
        </w:rPr>
      </w:pPr>
      <w:r>
        <w:rPr>
          <w:sz w:val="24"/>
          <w:szCs w:val="24"/>
        </w:rPr>
        <w:t>1</w:t>
      </w:r>
      <w:r>
        <w:rPr>
          <w:rFonts w:hAnsiTheme="minorEastAsia"/>
          <w:sz w:val="24"/>
          <w:szCs w:val="24"/>
        </w:rPr>
        <w:t>、</w:t>
      </w:r>
    </w:p>
    <w:p w14:paraId="04A7C97F">
      <w:pPr>
        <w:spacing w:line="480" w:lineRule="exact"/>
        <w:ind w:firstLine="448" w:firstLineChars="200"/>
        <w:rPr>
          <w:sz w:val="24"/>
          <w:szCs w:val="24"/>
          <w:u w:val="single"/>
        </w:rPr>
      </w:pPr>
      <w:r>
        <w:rPr>
          <w:sz w:val="24"/>
          <w:szCs w:val="24"/>
        </w:rPr>
        <w:t>2</w:t>
      </w:r>
      <w:r>
        <w:rPr>
          <w:rFonts w:hAnsiTheme="minorEastAsia"/>
          <w:sz w:val="24"/>
          <w:szCs w:val="24"/>
        </w:rPr>
        <w:t>、</w:t>
      </w:r>
    </w:p>
    <w:p w14:paraId="7001E0A2">
      <w:pPr>
        <w:spacing w:line="480" w:lineRule="exact"/>
        <w:ind w:firstLine="448" w:firstLineChars="200"/>
        <w:rPr>
          <w:sz w:val="24"/>
          <w:szCs w:val="24"/>
          <w:bdr w:val="single" w:color="auto" w:sz="4" w:space="0"/>
        </w:rPr>
      </w:pPr>
      <w:r>
        <w:rPr>
          <w:sz w:val="24"/>
          <w:szCs w:val="24"/>
        </w:rPr>
        <w:t>3</w:t>
      </w:r>
      <w:r>
        <w:rPr>
          <w:rFonts w:hAnsiTheme="minorEastAsia"/>
          <w:sz w:val="24"/>
          <w:szCs w:val="24"/>
        </w:rPr>
        <w:t>、</w:t>
      </w:r>
    </w:p>
    <w:p w14:paraId="75ADC72A">
      <w:pPr>
        <w:spacing w:line="480" w:lineRule="exact"/>
        <w:ind w:firstLine="448" w:firstLineChars="200"/>
        <w:rPr>
          <w:sz w:val="24"/>
          <w:szCs w:val="24"/>
        </w:rPr>
      </w:pPr>
      <w:r>
        <w:rPr>
          <w:rFonts w:hAnsiTheme="minorEastAsia"/>
          <w:sz w:val="24"/>
          <w:szCs w:val="24"/>
        </w:rPr>
        <w:t>第五条</w:t>
      </w:r>
      <w:r>
        <w:rPr>
          <w:rFonts w:hint="eastAsia" w:hAnsiTheme="minorEastAsia"/>
          <w:sz w:val="24"/>
          <w:szCs w:val="24"/>
        </w:rPr>
        <w:t xml:space="preserve"> </w:t>
      </w:r>
      <w:r>
        <w:rPr>
          <w:rFonts w:hAnsiTheme="minorEastAsia"/>
          <w:sz w:val="24"/>
          <w:szCs w:val="24"/>
        </w:rPr>
        <w:t>乙方权利义务</w:t>
      </w:r>
    </w:p>
    <w:p w14:paraId="6917050A">
      <w:pPr>
        <w:spacing w:line="480" w:lineRule="exact"/>
        <w:ind w:firstLine="448" w:firstLineChars="200"/>
        <w:rPr>
          <w:sz w:val="24"/>
          <w:szCs w:val="24"/>
        </w:rPr>
      </w:pPr>
      <w:r>
        <w:rPr>
          <w:rFonts w:hAnsiTheme="minorEastAsia"/>
          <w:sz w:val="24"/>
          <w:szCs w:val="24"/>
        </w:rPr>
        <w:t>（一）依照国家、本市有关规定和本合同约定，制定物业管理服务方案和制度，对物业及其共用设施设备、消防、公共秩序及环境卫生等进行管理服务；</w:t>
      </w:r>
    </w:p>
    <w:p w14:paraId="32542C4C">
      <w:pPr>
        <w:spacing w:line="480" w:lineRule="exact"/>
        <w:ind w:firstLine="448" w:firstLineChars="200"/>
        <w:rPr>
          <w:sz w:val="24"/>
          <w:szCs w:val="24"/>
        </w:rPr>
      </w:pPr>
      <w:r>
        <w:rPr>
          <w:rFonts w:hAnsiTheme="minorEastAsia"/>
          <w:sz w:val="24"/>
          <w:szCs w:val="24"/>
        </w:rPr>
        <w:t>（二）在本物业管理区域内的显著位置，将服务内容、服务标准和收费项目、收费标准等有关情况进行公示；</w:t>
      </w:r>
    </w:p>
    <w:p w14:paraId="70C5F1FE">
      <w:pPr>
        <w:spacing w:line="480" w:lineRule="exact"/>
        <w:ind w:firstLine="448" w:firstLineChars="200"/>
        <w:rPr>
          <w:sz w:val="24"/>
          <w:szCs w:val="24"/>
        </w:rPr>
      </w:pPr>
      <w:r>
        <w:rPr>
          <w:rFonts w:hAnsiTheme="minorEastAsia"/>
          <w:sz w:val="24"/>
          <w:szCs w:val="24"/>
        </w:rPr>
        <w:t>（三）依照本合同约定向采购人收取物业管理服务费；</w:t>
      </w:r>
    </w:p>
    <w:p w14:paraId="4736C41C">
      <w:pPr>
        <w:spacing w:line="480" w:lineRule="exact"/>
        <w:ind w:firstLine="448" w:firstLineChars="200"/>
        <w:rPr>
          <w:sz w:val="24"/>
          <w:szCs w:val="24"/>
        </w:rPr>
      </w:pPr>
      <w:r>
        <w:rPr>
          <w:rFonts w:hAnsiTheme="minorEastAsia"/>
          <w:sz w:val="24"/>
          <w:szCs w:val="24"/>
        </w:rPr>
        <w:t>（四）建立物业项目的管理档案；</w:t>
      </w:r>
    </w:p>
    <w:p w14:paraId="1B6FF9D7">
      <w:pPr>
        <w:spacing w:line="480" w:lineRule="exact"/>
        <w:ind w:firstLine="448" w:firstLineChars="200"/>
        <w:rPr>
          <w:sz w:val="24"/>
          <w:szCs w:val="24"/>
        </w:rPr>
      </w:pPr>
      <w:r>
        <w:rPr>
          <w:rFonts w:hAnsiTheme="minorEastAsia"/>
          <w:sz w:val="24"/>
          <w:szCs w:val="24"/>
        </w:rPr>
        <w:t>（五）对采购人违反国家和本市有关物业管理方面的法律、法规和规章及管理规约的行为，进行劝阻、制止，并向甲方和有关部门报告；</w:t>
      </w:r>
    </w:p>
    <w:p w14:paraId="237F9FC0">
      <w:pPr>
        <w:spacing w:line="480" w:lineRule="exact"/>
        <w:ind w:firstLine="448" w:firstLineChars="200"/>
        <w:rPr>
          <w:sz w:val="24"/>
          <w:szCs w:val="24"/>
        </w:rPr>
      </w:pPr>
      <w:r>
        <w:rPr>
          <w:rFonts w:hAnsiTheme="minorEastAsia"/>
          <w:sz w:val="24"/>
          <w:szCs w:val="24"/>
        </w:rPr>
        <w:t>（六）对侵害物业共用部位、共用设施设备的行为要求责任人停止侵害、排除妨害、恢复原状；</w:t>
      </w:r>
    </w:p>
    <w:p w14:paraId="641A833A">
      <w:pPr>
        <w:spacing w:line="480" w:lineRule="exact"/>
        <w:ind w:firstLine="448" w:firstLineChars="200"/>
        <w:rPr>
          <w:sz w:val="24"/>
          <w:szCs w:val="24"/>
        </w:rPr>
      </w:pPr>
      <w:r>
        <w:rPr>
          <w:rFonts w:hAnsiTheme="minorEastAsia"/>
          <w:sz w:val="24"/>
          <w:szCs w:val="24"/>
        </w:rPr>
        <w:t>（七）不得将物业项目全部委托给他人管理，但可以将专项服务委托专业公司承担；</w:t>
      </w:r>
    </w:p>
    <w:p w14:paraId="70361F95">
      <w:pPr>
        <w:spacing w:line="480" w:lineRule="exact"/>
        <w:ind w:firstLine="448" w:firstLineChars="200"/>
        <w:rPr>
          <w:sz w:val="24"/>
          <w:szCs w:val="24"/>
        </w:rPr>
      </w:pPr>
      <w:r>
        <w:rPr>
          <w:rFonts w:hAnsiTheme="minorEastAsia"/>
          <w:sz w:val="24"/>
          <w:szCs w:val="24"/>
        </w:rPr>
        <w:t>（八）负责编制物业的年度维修养护计划，并组织实施；</w:t>
      </w:r>
    </w:p>
    <w:p w14:paraId="2FE79F9D">
      <w:pPr>
        <w:spacing w:line="480" w:lineRule="exact"/>
        <w:ind w:firstLine="448" w:firstLineChars="200"/>
        <w:rPr>
          <w:sz w:val="24"/>
          <w:szCs w:val="24"/>
        </w:rPr>
      </w:pPr>
      <w:r>
        <w:rPr>
          <w:rFonts w:hAnsi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71A17828">
      <w:pPr>
        <w:spacing w:line="480" w:lineRule="exact"/>
        <w:ind w:firstLine="448" w:firstLineChars="200"/>
        <w:rPr>
          <w:sz w:val="24"/>
          <w:szCs w:val="24"/>
        </w:rPr>
      </w:pPr>
      <w:r>
        <w:rPr>
          <w:rFonts w:hAnsiTheme="minorEastAsia"/>
          <w:sz w:val="24"/>
          <w:szCs w:val="24"/>
        </w:rPr>
        <w:t>（十）负责编制物业服务年度计划；</w:t>
      </w:r>
    </w:p>
    <w:p w14:paraId="60383658">
      <w:pPr>
        <w:spacing w:line="480" w:lineRule="exact"/>
        <w:ind w:firstLine="448" w:firstLineChars="200"/>
        <w:rPr>
          <w:sz w:val="24"/>
          <w:szCs w:val="24"/>
        </w:rPr>
      </w:pPr>
      <w:r>
        <w:rPr>
          <w:rFonts w:hAnsiTheme="minorEastAsia"/>
          <w:sz w:val="24"/>
          <w:szCs w:val="24"/>
        </w:rPr>
        <w:t>（十一）对本物业的共用部位、设施及场地不得擅自占用和改变使用功能，如需在本物业内改、扩建或者完善配套设施设备，经甲方同意后报有关部门批准方可以实施；</w:t>
      </w:r>
    </w:p>
    <w:p w14:paraId="1C0434CE">
      <w:pPr>
        <w:spacing w:line="480" w:lineRule="exact"/>
        <w:ind w:firstLine="448" w:firstLineChars="200"/>
        <w:rPr>
          <w:sz w:val="24"/>
          <w:szCs w:val="24"/>
          <w:bdr w:val="single" w:color="auto" w:sz="4" w:space="0"/>
        </w:rPr>
      </w:pPr>
      <w:r>
        <w:rPr>
          <w:rFonts w:hAnsiTheme="minorEastAsia"/>
          <w:sz w:val="24"/>
          <w:szCs w:val="24"/>
        </w:rPr>
        <w:t>（十二）本合同终止乙方不再管理本物业时，在合同终止之日起十日内，除向甲方移交本合同规定的资料外，还必须办理下列移交事项：</w:t>
      </w:r>
    </w:p>
    <w:p w14:paraId="02E69E6B">
      <w:pPr>
        <w:spacing w:line="480" w:lineRule="exact"/>
        <w:ind w:firstLine="448" w:firstLineChars="200"/>
        <w:rPr>
          <w:sz w:val="24"/>
          <w:szCs w:val="24"/>
        </w:rPr>
      </w:pPr>
      <w:r>
        <w:rPr>
          <w:sz w:val="24"/>
          <w:szCs w:val="24"/>
        </w:rPr>
        <w:t>1</w:t>
      </w:r>
      <w:r>
        <w:rPr>
          <w:rFonts w:hAnsiTheme="minorEastAsia"/>
          <w:sz w:val="24"/>
          <w:szCs w:val="24"/>
        </w:rPr>
        <w:t>、预收的物业管理服务费等收益余额；</w:t>
      </w:r>
    </w:p>
    <w:p w14:paraId="5AF3B168">
      <w:pPr>
        <w:spacing w:line="480" w:lineRule="exact"/>
        <w:ind w:firstLine="448" w:firstLineChars="200"/>
        <w:rPr>
          <w:sz w:val="24"/>
          <w:szCs w:val="24"/>
        </w:rPr>
      </w:pPr>
      <w:r>
        <w:rPr>
          <w:sz w:val="24"/>
          <w:szCs w:val="24"/>
        </w:rPr>
        <w:t>2</w:t>
      </w:r>
      <w:r>
        <w:rPr>
          <w:rFonts w:hAnsiTheme="minorEastAsia"/>
          <w:sz w:val="24"/>
          <w:szCs w:val="24"/>
        </w:rPr>
        <w:t>、物业管理项目的档案资料；</w:t>
      </w:r>
    </w:p>
    <w:p w14:paraId="7745723E">
      <w:pPr>
        <w:spacing w:line="480" w:lineRule="exact"/>
        <w:ind w:firstLine="448" w:firstLineChars="200"/>
        <w:rPr>
          <w:sz w:val="24"/>
          <w:szCs w:val="24"/>
        </w:rPr>
      </w:pPr>
      <w:r>
        <w:rPr>
          <w:sz w:val="24"/>
          <w:szCs w:val="24"/>
        </w:rPr>
        <w:t>3</w:t>
      </w:r>
      <w:r>
        <w:rPr>
          <w:rFonts w:hAnsiTheme="minorEastAsia"/>
          <w:sz w:val="24"/>
          <w:szCs w:val="24"/>
        </w:rPr>
        <w:t>、物业管理用房和属于采购人的场地、设施设备。</w:t>
      </w:r>
    </w:p>
    <w:p w14:paraId="4002A5E3">
      <w:pPr>
        <w:spacing w:line="480" w:lineRule="exact"/>
        <w:ind w:firstLine="448" w:firstLineChars="200"/>
        <w:rPr>
          <w:sz w:val="24"/>
          <w:szCs w:val="24"/>
        </w:rPr>
      </w:pPr>
      <w:r>
        <w:rPr>
          <w:rFonts w:hAnsi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4843A2DE">
      <w:pPr>
        <w:spacing w:line="480" w:lineRule="exact"/>
        <w:ind w:firstLine="448" w:firstLineChars="200"/>
        <w:rPr>
          <w:sz w:val="24"/>
          <w:szCs w:val="24"/>
        </w:rPr>
      </w:pPr>
      <w:r>
        <w:rPr>
          <w:rFonts w:hAnsiTheme="minorEastAsia"/>
          <w:sz w:val="24"/>
          <w:szCs w:val="24"/>
        </w:rPr>
        <w:t>（十四）接受采购人的监督；</w:t>
      </w:r>
    </w:p>
    <w:p w14:paraId="03E431BD">
      <w:pPr>
        <w:spacing w:line="480" w:lineRule="exact"/>
        <w:ind w:firstLine="448" w:firstLineChars="200"/>
        <w:rPr>
          <w:sz w:val="24"/>
          <w:szCs w:val="24"/>
        </w:rPr>
      </w:pPr>
      <w:r>
        <w:rPr>
          <w:rFonts w:hAnsiTheme="minorEastAsia"/>
          <w:sz w:val="24"/>
          <w:szCs w:val="24"/>
        </w:rPr>
        <w:t>（十五）接受物业管理行政主管部门的监督指导；</w:t>
      </w:r>
    </w:p>
    <w:p w14:paraId="076FF917">
      <w:pPr>
        <w:spacing w:line="480" w:lineRule="exact"/>
        <w:ind w:firstLine="448" w:firstLineChars="200"/>
        <w:rPr>
          <w:sz w:val="24"/>
          <w:szCs w:val="24"/>
        </w:rPr>
      </w:pPr>
      <w:r>
        <w:rPr>
          <w:rFonts w:hAnsiTheme="minorEastAsia"/>
          <w:sz w:val="24"/>
          <w:szCs w:val="24"/>
        </w:rPr>
        <w:t>（十六）其他：</w:t>
      </w:r>
    </w:p>
    <w:p w14:paraId="0F0FF517">
      <w:pPr>
        <w:spacing w:line="480" w:lineRule="exact"/>
        <w:ind w:firstLine="368" w:firstLineChars="200"/>
        <w:rPr>
          <w:spacing w:val="-20"/>
          <w:sz w:val="24"/>
          <w:szCs w:val="24"/>
          <w:u w:val="single"/>
        </w:rPr>
      </w:pPr>
    </w:p>
    <w:p w14:paraId="22E9878A">
      <w:pPr>
        <w:spacing w:line="480" w:lineRule="exact"/>
        <w:ind w:firstLine="448" w:firstLineChars="200"/>
        <w:rPr>
          <w:sz w:val="24"/>
          <w:szCs w:val="24"/>
        </w:rPr>
      </w:pPr>
      <w:r>
        <w:rPr>
          <w:rFonts w:hAnsiTheme="minorEastAsia"/>
          <w:sz w:val="24"/>
          <w:szCs w:val="24"/>
        </w:rPr>
        <w:t>第六条</w:t>
      </w:r>
      <w:r>
        <w:rPr>
          <w:rFonts w:hint="eastAsia" w:hAnsiTheme="minorEastAsia"/>
          <w:sz w:val="24"/>
          <w:szCs w:val="24"/>
        </w:rPr>
        <w:t xml:space="preserve"> </w:t>
      </w:r>
      <w:r>
        <w:rPr>
          <w:rFonts w:hAnsiTheme="minorEastAsia"/>
          <w:sz w:val="24"/>
          <w:szCs w:val="24"/>
        </w:rPr>
        <w:t>物业管理服务费用</w:t>
      </w:r>
    </w:p>
    <w:p w14:paraId="2D10B52C">
      <w:pPr>
        <w:spacing w:line="480" w:lineRule="exact"/>
        <w:ind w:firstLine="448" w:firstLineChars="200"/>
        <w:rPr>
          <w:sz w:val="24"/>
          <w:szCs w:val="24"/>
        </w:rPr>
      </w:pPr>
      <w:r>
        <w:rPr>
          <w:rFonts w:hAnsiTheme="minorEastAsia"/>
          <w:sz w:val="24"/>
          <w:szCs w:val="24"/>
        </w:rPr>
        <w:t>本物业管理区域内的物业管理服务费采取包干制的形式，年服务费用为大写：（小写：）。</w:t>
      </w:r>
    </w:p>
    <w:p w14:paraId="5157951E">
      <w:pPr>
        <w:spacing w:line="480" w:lineRule="exact"/>
        <w:ind w:firstLine="448" w:firstLineChars="200"/>
        <w:rPr>
          <w:sz w:val="24"/>
          <w:szCs w:val="24"/>
        </w:rPr>
      </w:pPr>
      <w:r>
        <w:rPr>
          <w:rFonts w:hAnsiTheme="minorEastAsia"/>
          <w:sz w:val="24"/>
          <w:szCs w:val="24"/>
        </w:rPr>
        <w:t>乙方按照上述标准收取物业服务费用，并按本合同约定的服务内容和质量标准提供服务，盈余或亏损由乙方享有或承担。</w:t>
      </w:r>
    </w:p>
    <w:p w14:paraId="747204CB">
      <w:pPr>
        <w:spacing w:line="480" w:lineRule="exact"/>
        <w:ind w:firstLine="448" w:firstLineChars="200"/>
        <w:rPr>
          <w:spacing w:val="-20"/>
          <w:sz w:val="24"/>
          <w:szCs w:val="24"/>
          <w:u w:val="single"/>
        </w:rPr>
      </w:pPr>
      <w:r>
        <w:rPr>
          <w:rFonts w:hAnsiTheme="minorEastAsia"/>
          <w:sz w:val="24"/>
          <w:szCs w:val="24"/>
        </w:rPr>
        <w:t>付款方式如下：</w:t>
      </w:r>
    </w:p>
    <w:p w14:paraId="47737A09">
      <w:pPr>
        <w:spacing w:line="480" w:lineRule="exact"/>
        <w:ind w:firstLine="368" w:firstLineChars="200"/>
        <w:rPr>
          <w:spacing w:val="-20"/>
          <w:sz w:val="24"/>
          <w:szCs w:val="24"/>
          <w:u w:val="single"/>
        </w:rPr>
      </w:pPr>
    </w:p>
    <w:p w14:paraId="3160E283">
      <w:pPr>
        <w:spacing w:line="480" w:lineRule="exact"/>
        <w:ind w:firstLine="448" w:firstLineChars="200"/>
        <w:rPr>
          <w:sz w:val="24"/>
          <w:szCs w:val="24"/>
        </w:rPr>
      </w:pPr>
      <w:r>
        <w:rPr>
          <w:rFonts w:hAnsiTheme="minorEastAsia"/>
          <w:sz w:val="24"/>
          <w:szCs w:val="24"/>
        </w:rPr>
        <w:t>第七条</w:t>
      </w:r>
      <w:r>
        <w:rPr>
          <w:rFonts w:hint="eastAsia" w:hAnsiTheme="minorEastAsia"/>
          <w:sz w:val="24"/>
          <w:szCs w:val="24"/>
        </w:rPr>
        <w:t xml:space="preserve"> </w:t>
      </w:r>
      <w:r>
        <w:rPr>
          <w:rFonts w:hAnsiTheme="minorEastAsia"/>
          <w:sz w:val="24"/>
          <w:szCs w:val="24"/>
        </w:rPr>
        <w:t>物业管理用房</w:t>
      </w:r>
    </w:p>
    <w:p w14:paraId="1660CE5C">
      <w:pPr>
        <w:spacing w:line="480" w:lineRule="exact"/>
        <w:ind w:firstLine="448" w:firstLineChars="200"/>
        <w:rPr>
          <w:sz w:val="24"/>
          <w:szCs w:val="24"/>
        </w:rPr>
      </w:pPr>
      <w:r>
        <w:rPr>
          <w:rFonts w:hAnsi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43E48B65">
      <w:pPr>
        <w:spacing w:line="480" w:lineRule="exact"/>
        <w:ind w:firstLine="448" w:firstLineChars="200"/>
        <w:rPr>
          <w:sz w:val="24"/>
          <w:szCs w:val="24"/>
        </w:rPr>
      </w:pPr>
      <w:r>
        <w:rPr>
          <w:rFonts w:hAnsiTheme="minorEastAsia"/>
          <w:sz w:val="24"/>
          <w:szCs w:val="24"/>
        </w:rPr>
        <w:t>第八条</w:t>
      </w:r>
      <w:r>
        <w:rPr>
          <w:rFonts w:hint="eastAsia" w:hAnsiTheme="minorEastAsia"/>
          <w:sz w:val="24"/>
          <w:szCs w:val="24"/>
        </w:rPr>
        <w:t xml:space="preserve"> </w:t>
      </w:r>
      <w:r>
        <w:rPr>
          <w:rFonts w:hAnsiTheme="minorEastAsia"/>
          <w:sz w:val="24"/>
          <w:szCs w:val="24"/>
        </w:rPr>
        <w:t>物业及物业管理交接</w:t>
      </w:r>
    </w:p>
    <w:p w14:paraId="6EAB3B96">
      <w:pPr>
        <w:spacing w:line="480" w:lineRule="exact"/>
        <w:ind w:firstLine="448" w:firstLineChars="200"/>
        <w:rPr>
          <w:sz w:val="24"/>
          <w:szCs w:val="24"/>
        </w:rPr>
      </w:pPr>
      <w:r>
        <w:rPr>
          <w:rFonts w:hAnsiTheme="minorEastAsia"/>
          <w:sz w:val="24"/>
          <w:szCs w:val="24"/>
        </w:rPr>
        <w:t>自本合同生效之日起，由甲方向乙方移交下列资金、物品和资料：</w:t>
      </w:r>
    </w:p>
    <w:p w14:paraId="7FF7538E">
      <w:pPr>
        <w:spacing w:line="480" w:lineRule="exact"/>
        <w:ind w:firstLine="448" w:firstLineChars="200"/>
        <w:rPr>
          <w:sz w:val="24"/>
          <w:szCs w:val="24"/>
        </w:rPr>
      </w:pPr>
      <w:r>
        <w:rPr>
          <w:rFonts w:hAnsiTheme="minorEastAsia"/>
          <w:sz w:val="24"/>
          <w:szCs w:val="24"/>
        </w:rPr>
        <w:t>（一）竣工总平面图，单体建筑、结构、设备的竣工图，附属配套设施、地下管网工程竣工图等资料；</w:t>
      </w:r>
    </w:p>
    <w:p w14:paraId="7CC8C74B">
      <w:pPr>
        <w:spacing w:line="480" w:lineRule="exact"/>
        <w:ind w:firstLine="448" w:firstLineChars="200"/>
        <w:rPr>
          <w:sz w:val="24"/>
          <w:szCs w:val="24"/>
        </w:rPr>
      </w:pPr>
      <w:r>
        <w:rPr>
          <w:rFonts w:hAnsiTheme="minorEastAsia"/>
          <w:sz w:val="24"/>
          <w:szCs w:val="24"/>
        </w:rPr>
        <w:t>（二）物业竣工验收资料；</w:t>
      </w:r>
    </w:p>
    <w:p w14:paraId="386FEB16">
      <w:pPr>
        <w:spacing w:line="480" w:lineRule="exact"/>
        <w:ind w:firstLine="448" w:firstLineChars="200"/>
        <w:rPr>
          <w:sz w:val="24"/>
          <w:szCs w:val="24"/>
        </w:rPr>
      </w:pPr>
      <w:r>
        <w:rPr>
          <w:rFonts w:hAnsiTheme="minorEastAsia"/>
          <w:sz w:val="24"/>
          <w:szCs w:val="24"/>
        </w:rPr>
        <w:t>（三）共用设施设备安装、使用、维护和保养技术资料；</w:t>
      </w:r>
    </w:p>
    <w:p w14:paraId="7F667424">
      <w:pPr>
        <w:spacing w:line="480" w:lineRule="exact"/>
        <w:ind w:firstLine="448" w:firstLineChars="200"/>
        <w:rPr>
          <w:sz w:val="24"/>
          <w:szCs w:val="24"/>
        </w:rPr>
      </w:pPr>
      <w:r>
        <w:rPr>
          <w:rFonts w:hAnsiTheme="minorEastAsia"/>
          <w:sz w:val="24"/>
          <w:szCs w:val="24"/>
        </w:rPr>
        <w:t>（四）物业质量保证书和使用说明书；</w:t>
      </w:r>
    </w:p>
    <w:p w14:paraId="72AD0980">
      <w:pPr>
        <w:spacing w:line="480" w:lineRule="exact"/>
        <w:ind w:firstLine="448" w:firstLineChars="200"/>
        <w:rPr>
          <w:sz w:val="24"/>
          <w:szCs w:val="24"/>
        </w:rPr>
      </w:pPr>
      <w:r>
        <w:rPr>
          <w:rFonts w:hAnsiTheme="minorEastAsia"/>
          <w:sz w:val="24"/>
          <w:szCs w:val="24"/>
        </w:rPr>
        <w:t>（五）物业管理服务费等余额；</w:t>
      </w:r>
    </w:p>
    <w:p w14:paraId="4ABFCE6C">
      <w:pPr>
        <w:spacing w:line="480" w:lineRule="exact"/>
        <w:ind w:firstLine="448" w:firstLineChars="200"/>
        <w:rPr>
          <w:sz w:val="24"/>
          <w:szCs w:val="24"/>
        </w:rPr>
      </w:pPr>
      <w:r>
        <w:rPr>
          <w:rFonts w:hAnsiTheme="minorEastAsia"/>
          <w:sz w:val="24"/>
          <w:szCs w:val="24"/>
        </w:rPr>
        <w:t>（六）物业管理需要的其他资料；</w:t>
      </w:r>
    </w:p>
    <w:p w14:paraId="08C2202A">
      <w:pPr>
        <w:spacing w:line="480" w:lineRule="exact"/>
        <w:ind w:firstLine="448" w:firstLineChars="200"/>
        <w:rPr>
          <w:sz w:val="24"/>
          <w:szCs w:val="24"/>
        </w:rPr>
      </w:pPr>
      <w:r>
        <w:rPr>
          <w:rFonts w:hAnsiTheme="minorEastAsia"/>
          <w:sz w:val="24"/>
          <w:szCs w:val="24"/>
        </w:rPr>
        <w:t>（七）物业管理用房和属于采购人的场地、设施设备。</w:t>
      </w:r>
    </w:p>
    <w:p w14:paraId="7EE71F35">
      <w:pPr>
        <w:spacing w:line="480" w:lineRule="exact"/>
        <w:ind w:firstLine="448" w:firstLineChars="200"/>
        <w:rPr>
          <w:sz w:val="24"/>
          <w:szCs w:val="24"/>
        </w:rPr>
      </w:pPr>
      <w:r>
        <w:rPr>
          <w:rFonts w:hAnsiTheme="minorEastAsia"/>
          <w:sz w:val="24"/>
          <w:szCs w:val="24"/>
        </w:rPr>
        <w:t>第九条</w:t>
      </w:r>
      <w:r>
        <w:rPr>
          <w:rFonts w:hint="eastAsia" w:hAnsiTheme="minorEastAsia"/>
          <w:sz w:val="24"/>
          <w:szCs w:val="24"/>
        </w:rPr>
        <w:t xml:space="preserve"> </w:t>
      </w:r>
      <w:r>
        <w:rPr>
          <w:rFonts w:hAnsiTheme="minorEastAsia"/>
          <w:sz w:val="24"/>
          <w:szCs w:val="24"/>
        </w:rPr>
        <w:t>采购人装饰装修房屋，应当遵守国家和本市有关规定。</w:t>
      </w:r>
    </w:p>
    <w:p w14:paraId="6DB95F61">
      <w:pPr>
        <w:spacing w:line="480" w:lineRule="exact"/>
        <w:ind w:firstLine="448" w:firstLineChars="200"/>
        <w:rPr>
          <w:sz w:val="24"/>
          <w:szCs w:val="24"/>
        </w:rPr>
      </w:pPr>
      <w:r>
        <w:rPr>
          <w:rFonts w:hAnsi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55D38EF6">
      <w:pPr>
        <w:spacing w:line="480" w:lineRule="exact"/>
        <w:ind w:firstLine="448" w:firstLineChars="200"/>
        <w:rPr>
          <w:sz w:val="24"/>
          <w:szCs w:val="24"/>
        </w:rPr>
      </w:pPr>
      <w:r>
        <w:rPr>
          <w:rFonts w:hAnsiTheme="minorEastAsia"/>
          <w:sz w:val="24"/>
          <w:szCs w:val="24"/>
        </w:rPr>
        <w:t>第十条</w:t>
      </w:r>
      <w:r>
        <w:rPr>
          <w:rFonts w:hint="eastAsia" w:hAnsiTheme="minorEastAsia"/>
          <w:sz w:val="24"/>
          <w:szCs w:val="24"/>
        </w:rPr>
        <w:t xml:space="preserve"> </w:t>
      </w:r>
      <w:r>
        <w:rPr>
          <w:rFonts w:hAnsiTheme="minorEastAsia"/>
          <w:sz w:val="24"/>
          <w:szCs w:val="24"/>
        </w:rPr>
        <w:t>违约责任</w:t>
      </w:r>
    </w:p>
    <w:p w14:paraId="67D667E7">
      <w:pPr>
        <w:spacing w:line="480" w:lineRule="exact"/>
        <w:ind w:firstLine="448" w:firstLineChars="200"/>
        <w:rPr>
          <w:sz w:val="24"/>
          <w:szCs w:val="24"/>
        </w:rPr>
      </w:pPr>
      <w:r>
        <w:rPr>
          <w:rFonts w:hAnsi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56FEA4CD">
      <w:pPr>
        <w:spacing w:line="480" w:lineRule="exact"/>
        <w:ind w:firstLine="448" w:firstLineChars="200"/>
        <w:rPr>
          <w:sz w:val="24"/>
          <w:szCs w:val="24"/>
        </w:rPr>
      </w:pPr>
      <w:r>
        <w:rPr>
          <w:rFonts w:hAnsi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6B186EB0">
      <w:pPr>
        <w:spacing w:line="480" w:lineRule="exact"/>
        <w:ind w:firstLine="448" w:firstLineChars="200"/>
        <w:rPr>
          <w:sz w:val="24"/>
          <w:szCs w:val="24"/>
        </w:rPr>
      </w:pPr>
      <w:r>
        <w:rPr>
          <w:rFonts w:hAnsiTheme="minorEastAsia"/>
          <w:sz w:val="24"/>
          <w:szCs w:val="24"/>
        </w:rPr>
        <w:t>（三）乙方违反本合同第六条约定，擅自提高收费标准的，甲方有权要求乙方清退；造成甲方经济损失的，乙方应当给予甲方经济赔偿。</w:t>
      </w:r>
    </w:p>
    <w:p w14:paraId="081A7B59">
      <w:pPr>
        <w:spacing w:line="480" w:lineRule="exact"/>
        <w:ind w:firstLine="448" w:firstLineChars="200"/>
        <w:rPr>
          <w:sz w:val="24"/>
          <w:szCs w:val="24"/>
        </w:rPr>
      </w:pPr>
      <w:r>
        <w:rPr>
          <w:rFonts w:hAnsiTheme="minorEastAsia"/>
          <w:sz w:val="24"/>
          <w:szCs w:val="24"/>
        </w:rPr>
        <w:t>（四）合同期满，乙方未按规定时间向甲方办理移交事项，乙方向甲方支付违约金元。</w:t>
      </w:r>
    </w:p>
    <w:p w14:paraId="28DAFB33">
      <w:pPr>
        <w:spacing w:line="480" w:lineRule="exact"/>
        <w:ind w:firstLine="448" w:firstLineChars="200"/>
        <w:rPr>
          <w:sz w:val="24"/>
          <w:szCs w:val="24"/>
        </w:rPr>
      </w:pPr>
      <w:r>
        <w:rPr>
          <w:rFonts w:hAnsiTheme="minorEastAsia"/>
          <w:sz w:val="24"/>
          <w:szCs w:val="24"/>
        </w:rPr>
        <w:t>（五）若采购人部分人员拒绝、阻碍乙方对物业共用部位、共用设施设备进行维修、养护，造成损失的，甲方应当承担赔偿责任。</w:t>
      </w:r>
    </w:p>
    <w:p w14:paraId="40E6E7DF">
      <w:pPr>
        <w:spacing w:line="480" w:lineRule="exact"/>
        <w:ind w:firstLine="448" w:firstLineChars="200"/>
        <w:rPr>
          <w:sz w:val="24"/>
          <w:szCs w:val="24"/>
        </w:rPr>
      </w:pPr>
      <w:r>
        <w:rPr>
          <w:rFonts w:hAnsiTheme="minorEastAsia"/>
          <w:sz w:val="24"/>
          <w:szCs w:val="24"/>
        </w:rPr>
        <w:t>（六）甲、乙任何一方无正当理由提前终止合同的，应当向对方支付元的违约金；违约方还应当承担超过违约金部分的经济损失。</w:t>
      </w:r>
    </w:p>
    <w:p w14:paraId="1ED44CBF">
      <w:pPr>
        <w:spacing w:line="480" w:lineRule="exact"/>
        <w:ind w:firstLine="448" w:firstLineChars="200"/>
        <w:rPr>
          <w:sz w:val="24"/>
          <w:szCs w:val="24"/>
        </w:rPr>
      </w:pPr>
      <w:r>
        <w:rPr>
          <w:rFonts w:hAnsiTheme="minorEastAsia"/>
          <w:sz w:val="24"/>
          <w:szCs w:val="24"/>
        </w:rPr>
        <w:t>（七）其他：</w:t>
      </w:r>
    </w:p>
    <w:p w14:paraId="3E01B464">
      <w:pPr>
        <w:spacing w:line="480" w:lineRule="exact"/>
        <w:ind w:firstLine="448" w:firstLineChars="200"/>
        <w:rPr>
          <w:sz w:val="24"/>
          <w:szCs w:val="24"/>
        </w:rPr>
      </w:pPr>
    </w:p>
    <w:p w14:paraId="1E7260DE">
      <w:pPr>
        <w:spacing w:line="480" w:lineRule="exact"/>
        <w:ind w:firstLine="448" w:firstLineChars="200"/>
        <w:rPr>
          <w:sz w:val="24"/>
          <w:szCs w:val="24"/>
        </w:rPr>
      </w:pPr>
      <w:r>
        <w:rPr>
          <w:rFonts w:hAnsiTheme="minorEastAsia"/>
          <w:sz w:val="24"/>
          <w:szCs w:val="24"/>
        </w:rPr>
        <w:t>第十一条</w:t>
      </w:r>
      <w:r>
        <w:rPr>
          <w:rFonts w:hint="eastAsia" w:hAnsiTheme="minorEastAsia"/>
          <w:sz w:val="24"/>
          <w:szCs w:val="24"/>
        </w:rPr>
        <w:t xml:space="preserve"> </w:t>
      </w:r>
      <w:r>
        <w:rPr>
          <w:rFonts w:hAnsiTheme="minorEastAsia"/>
          <w:sz w:val="24"/>
          <w:szCs w:val="24"/>
        </w:rPr>
        <w:t>质量纠纷的约定</w:t>
      </w:r>
    </w:p>
    <w:p w14:paraId="76BE1732">
      <w:pPr>
        <w:spacing w:line="480" w:lineRule="exact"/>
        <w:ind w:firstLine="448" w:firstLineChars="200"/>
        <w:rPr>
          <w:sz w:val="24"/>
          <w:szCs w:val="24"/>
        </w:rPr>
      </w:pPr>
      <w:r>
        <w:rPr>
          <w:rFonts w:hAnsi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2EF9DB7A">
      <w:pPr>
        <w:spacing w:line="480" w:lineRule="exact"/>
        <w:ind w:firstLine="448" w:firstLineChars="200"/>
        <w:rPr>
          <w:sz w:val="24"/>
          <w:szCs w:val="24"/>
        </w:rPr>
      </w:pPr>
      <w:r>
        <w:rPr>
          <w:rFonts w:hAnsiTheme="minorEastAsia"/>
          <w:sz w:val="24"/>
          <w:szCs w:val="24"/>
        </w:rPr>
        <w:t>第十二条</w:t>
      </w:r>
      <w:r>
        <w:rPr>
          <w:rFonts w:hint="eastAsia" w:hAnsiTheme="minorEastAsia"/>
          <w:sz w:val="24"/>
          <w:szCs w:val="24"/>
        </w:rPr>
        <w:t xml:space="preserve"> </w:t>
      </w:r>
      <w:r>
        <w:rPr>
          <w:rFonts w:hAnsiTheme="minorEastAsia"/>
          <w:sz w:val="24"/>
          <w:szCs w:val="24"/>
        </w:rPr>
        <w:t>不可抗力的约定</w:t>
      </w:r>
    </w:p>
    <w:p w14:paraId="2D078136">
      <w:pPr>
        <w:spacing w:line="480" w:lineRule="exact"/>
        <w:ind w:firstLine="448" w:firstLineChars="200"/>
        <w:rPr>
          <w:sz w:val="24"/>
          <w:szCs w:val="24"/>
        </w:rPr>
      </w:pPr>
      <w:r>
        <w:rPr>
          <w:rFonts w:hAnsiTheme="minorEastAsia"/>
          <w:sz w:val="24"/>
          <w:szCs w:val="24"/>
        </w:rPr>
        <w:t>本合同执行期间，如遇不可抗力，致使合同无法履行时，双方应当按有关法律规定及时协商处理。</w:t>
      </w:r>
    </w:p>
    <w:p w14:paraId="7F8EA695">
      <w:pPr>
        <w:spacing w:line="480" w:lineRule="exact"/>
        <w:ind w:firstLine="448" w:firstLineChars="200"/>
        <w:rPr>
          <w:sz w:val="24"/>
          <w:szCs w:val="24"/>
        </w:rPr>
      </w:pPr>
      <w:r>
        <w:rPr>
          <w:rFonts w:hAnsiTheme="minorEastAsia"/>
          <w:sz w:val="24"/>
          <w:szCs w:val="24"/>
        </w:rPr>
        <w:t>第十三条</w:t>
      </w:r>
      <w:r>
        <w:rPr>
          <w:rFonts w:hint="eastAsia" w:hAnsiTheme="minorEastAsia"/>
          <w:sz w:val="24"/>
          <w:szCs w:val="24"/>
        </w:rPr>
        <w:t xml:space="preserve"> </w:t>
      </w:r>
      <w:r>
        <w:rPr>
          <w:rFonts w:hAnsiTheme="minorEastAsia"/>
          <w:sz w:val="24"/>
          <w:szCs w:val="24"/>
        </w:rPr>
        <w:t>免责条款</w:t>
      </w:r>
    </w:p>
    <w:p w14:paraId="2EDB59DC">
      <w:pPr>
        <w:spacing w:line="480" w:lineRule="exact"/>
        <w:ind w:firstLine="448" w:firstLineChars="200"/>
        <w:rPr>
          <w:sz w:val="24"/>
          <w:szCs w:val="24"/>
        </w:rPr>
      </w:pPr>
      <w:r>
        <w:rPr>
          <w:rFonts w:hAnsiTheme="minorEastAsia"/>
          <w:sz w:val="24"/>
          <w:szCs w:val="24"/>
        </w:rPr>
        <w:t>以下情况乙方不承担责任：</w:t>
      </w:r>
    </w:p>
    <w:p w14:paraId="11A5F302">
      <w:pPr>
        <w:spacing w:line="480" w:lineRule="exact"/>
        <w:ind w:firstLine="448" w:firstLineChars="200"/>
        <w:rPr>
          <w:sz w:val="24"/>
          <w:szCs w:val="24"/>
        </w:rPr>
      </w:pPr>
      <w:r>
        <w:rPr>
          <w:sz w:val="24"/>
          <w:szCs w:val="24"/>
        </w:rPr>
        <w:t>1</w:t>
      </w:r>
      <w:r>
        <w:rPr>
          <w:rFonts w:hAnsiTheme="minorEastAsia"/>
          <w:sz w:val="24"/>
          <w:szCs w:val="24"/>
        </w:rPr>
        <w:t>、乙方已履行本合同约定义务，但因物业本身固有瑕疵造成损失的；</w:t>
      </w:r>
    </w:p>
    <w:p w14:paraId="6F91B67C">
      <w:pPr>
        <w:spacing w:line="480" w:lineRule="exact"/>
        <w:ind w:firstLine="448" w:firstLineChars="200"/>
        <w:rPr>
          <w:sz w:val="24"/>
          <w:szCs w:val="24"/>
        </w:rPr>
      </w:pPr>
      <w:r>
        <w:rPr>
          <w:sz w:val="24"/>
          <w:szCs w:val="24"/>
        </w:rPr>
        <w:t>2</w:t>
      </w:r>
      <w:r>
        <w:rPr>
          <w:rFonts w:hAnsiTheme="minorEastAsia"/>
          <w:sz w:val="24"/>
          <w:szCs w:val="24"/>
        </w:rPr>
        <w:t>、因维修养护物业共用部位、共用设施设备需要且事先已告知采购人，暂时停水、停电、停止共用设施设备使用等造成损失的；</w:t>
      </w:r>
    </w:p>
    <w:p w14:paraId="4B9D5535">
      <w:pPr>
        <w:spacing w:line="480" w:lineRule="exact"/>
        <w:ind w:firstLine="448" w:firstLineChars="200"/>
        <w:rPr>
          <w:sz w:val="24"/>
          <w:szCs w:val="24"/>
        </w:rPr>
      </w:pPr>
      <w:r>
        <w:rPr>
          <w:sz w:val="24"/>
          <w:szCs w:val="24"/>
        </w:rPr>
        <w:t>3</w:t>
      </w:r>
      <w:r>
        <w:rPr>
          <w:rFonts w:hAnsiTheme="minorEastAsia"/>
          <w:sz w:val="24"/>
          <w:szCs w:val="24"/>
        </w:rPr>
        <w:t>、因非乙方责任出现供水、供电、供气、供热、通讯、有线电视及其他共用设施设备运行障碍造成损失的。</w:t>
      </w:r>
    </w:p>
    <w:p w14:paraId="544F9CD7">
      <w:pPr>
        <w:spacing w:line="480" w:lineRule="exact"/>
        <w:ind w:firstLine="448" w:firstLineChars="200"/>
        <w:rPr>
          <w:sz w:val="24"/>
          <w:szCs w:val="24"/>
        </w:rPr>
      </w:pPr>
      <w:r>
        <w:rPr>
          <w:rFonts w:hAnsiTheme="minorEastAsia"/>
          <w:sz w:val="24"/>
          <w:szCs w:val="24"/>
        </w:rPr>
        <w:t>第十四条</w:t>
      </w:r>
      <w:r>
        <w:rPr>
          <w:rFonts w:hint="eastAsia" w:hAnsiTheme="minorEastAsia"/>
          <w:sz w:val="24"/>
          <w:szCs w:val="24"/>
        </w:rPr>
        <w:t xml:space="preserve"> </w:t>
      </w:r>
      <w:r>
        <w:rPr>
          <w:rFonts w:hAnsiTheme="minorEastAsia"/>
          <w:sz w:val="24"/>
          <w:szCs w:val="24"/>
        </w:rPr>
        <w:t>合同的解除</w:t>
      </w:r>
    </w:p>
    <w:p w14:paraId="3AA6CEB6">
      <w:pPr>
        <w:spacing w:line="480" w:lineRule="exact"/>
        <w:ind w:firstLine="448" w:firstLineChars="200"/>
        <w:rPr>
          <w:sz w:val="24"/>
          <w:szCs w:val="24"/>
        </w:rPr>
      </w:pPr>
      <w:r>
        <w:rPr>
          <w:rFonts w:hAnsiTheme="minorEastAsia"/>
          <w:sz w:val="24"/>
          <w:szCs w:val="24"/>
        </w:rPr>
        <w:t>本合同因任何一方原因而无法继续履行的，解除合同的一方应当在三个月前将解除时间、原因书面告知合同另一方，解除前应报请政府采购主管部门备案（通知）。</w:t>
      </w:r>
    </w:p>
    <w:p w14:paraId="1DF7DF87">
      <w:pPr>
        <w:spacing w:line="480" w:lineRule="exact"/>
        <w:ind w:firstLine="448" w:firstLineChars="200"/>
        <w:rPr>
          <w:sz w:val="24"/>
          <w:szCs w:val="24"/>
        </w:rPr>
      </w:pPr>
      <w:r>
        <w:rPr>
          <w:rFonts w:hAnsiTheme="minorEastAsia"/>
          <w:sz w:val="24"/>
          <w:szCs w:val="24"/>
        </w:rPr>
        <w:t>合同解除后，按照有关规定办理相关交接手续。</w:t>
      </w:r>
    </w:p>
    <w:p w14:paraId="24BFBE38">
      <w:pPr>
        <w:spacing w:line="480" w:lineRule="exact"/>
        <w:ind w:firstLine="448" w:firstLineChars="200"/>
        <w:rPr>
          <w:sz w:val="24"/>
          <w:szCs w:val="24"/>
        </w:rPr>
      </w:pPr>
      <w:r>
        <w:rPr>
          <w:rFonts w:hAnsiTheme="minorEastAsia"/>
          <w:sz w:val="24"/>
          <w:szCs w:val="24"/>
        </w:rPr>
        <w:t>第十五条</w:t>
      </w:r>
      <w:r>
        <w:rPr>
          <w:rFonts w:hint="eastAsia" w:hAnsiTheme="minorEastAsia"/>
          <w:sz w:val="24"/>
          <w:szCs w:val="24"/>
        </w:rPr>
        <w:t xml:space="preserve"> </w:t>
      </w:r>
      <w:r>
        <w:rPr>
          <w:rFonts w:hAnsiTheme="minorEastAsia"/>
          <w:sz w:val="24"/>
          <w:szCs w:val="24"/>
        </w:rPr>
        <w:t>争议处理</w:t>
      </w:r>
    </w:p>
    <w:p w14:paraId="1AFCA256">
      <w:pPr>
        <w:spacing w:line="480" w:lineRule="exact"/>
        <w:ind w:firstLine="448" w:firstLineChars="200"/>
        <w:rPr>
          <w:sz w:val="24"/>
          <w:szCs w:val="24"/>
        </w:rPr>
      </w:pPr>
      <w:r>
        <w:rPr>
          <w:rFonts w:hAnsiTheme="minorEastAsia"/>
          <w:sz w:val="24"/>
          <w:szCs w:val="24"/>
        </w:rPr>
        <w:t>由于甲、乙双方在履行本合同过程中出现问题，由甲、乙双方直接交涉解决，包括采用诉诸法律的手段。</w:t>
      </w:r>
    </w:p>
    <w:p w14:paraId="3CA5D8E6">
      <w:pPr>
        <w:spacing w:line="480" w:lineRule="exact"/>
        <w:ind w:firstLine="448" w:firstLineChars="200"/>
        <w:rPr>
          <w:sz w:val="24"/>
          <w:szCs w:val="24"/>
        </w:rPr>
      </w:pPr>
      <w:r>
        <w:rPr>
          <w:rFonts w:hAnsiTheme="minorEastAsia"/>
          <w:color w:val="000000"/>
          <w:sz w:val="24"/>
          <w:szCs w:val="24"/>
        </w:rPr>
        <w:t>本合同未作明示约定，而又有相关法律、法规规定的，从其规定。本合同发生争议产生的诉讼，由合同履行所在地人民法院管辖。</w:t>
      </w:r>
    </w:p>
    <w:p w14:paraId="167D259E">
      <w:pPr>
        <w:spacing w:line="480" w:lineRule="exact"/>
        <w:ind w:firstLine="448" w:firstLineChars="200"/>
        <w:rPr>
          <w:sz w:val="24"/>
          <w:szCs w:val="24"/>
        </w:rPr>
      </w:pPr>
      <w:r>
        <w:rPr>
          <w:rFonts w:hAnsiTheme="minorEastAsia"/>
          <w:sz w:val="24"/>
          <w:szCs w:val="24"/>
        </w:rPr>
        <w:t>第十六条</w:t>
      </w:r>
      <w:r>
        <w:rPr>
          <w:rFonts w:hint="eastAsia" w:hAnsiTheme="minorEastAsia"/>
          <w:sz w:val="24"/>
          <w:szCs w:val="24"/>
        </w:rPr>
        <w:t xml:space="preserve"> </w:t>
      </w:r>
      <w:r>
        <w:rPr>
          <w:rFonts w:hAnsiTheme="minorEastAsia"/>
          <w:sz w:val="24"/>
          <w:szCs w:val="24"/>
        </w:rPr>
        <w:t>合同附件</w:t>
      </w:r>
    </w:p>
    <w:p w14:paraId="16EE7D9D">
      <w:pPr>
        <w:spacing w:line="480" w:lineRule="exact"/>
        <w:ind w:firstLine="448" w:firstLineChars="200"/>
        <w:rPr>
          <w:sz w:val="24"/>
          <w:szCs w:val="24"/>
        </w:rPr>
      </w:pPr>
      <w:r>
        <w:rPr>
          <w:rFonts w:hAnsiTheme="minorEastAsia"/>
          <w:sz w:val="24"/>
          <w:szCs w:val="24"/>
        </w:rPr>
        <w:t>有关涉及本合同乙方向天津市</w:t>
      </w:r>
      <w:r>
        <w:rPr>
          <w:rFonts w:hint="eastAsia" w:hAnsiTheme="minorEastAsia"/>
          <w:sz w:val="24"/>
          <w:szCs w:val="24"/>
        </w:rPr>
        <w:t>滨海新区</w:t>
      </w:r>
      <w:r>
        <w:rPr>
          <w:rFonts w:hAnsiTheme="minorEastAsia"/>
          <w:sz w:val="24"/>
          <w:szCs w:val="24"/>
        </w:rPr>
        <w:t>政府采购中心所提交的投标文件及有关澄清资料和服务承诺均视为本合同不可分割的部分，对乙方具有约束力。</w:t>
      </w:r>
    </w:p>
    <w:p w14:paraId="4DBF1B50">
      <w:pPr>
        <w:spacing w:line="480" w:lineRule="exact"/>
        <w:ind w:firstLine="448" w:firstLineChars="200"/>
        <w:rPr>
          <w:sz w:val="24"/>
          <w:szCs w:val="24"/>
        </w:rPr>
      </w:pPr>
      <w:r>
        <w:rPr>
          <w:rFonts w:hAnsiTheme="minorEastAsia"/>
          <w:sz w:val="24"/>
          <w:szCs w:val="24"/>
        </w:rPr>
        <w:t>本合同及其附件和合同特殊条款中未规定的事宜，均遵照国家和本市有关法律、法规和规章执行。</w:t>
      </w:r>
    </w:p>
    <w:p w14:paraId="4184058F">
      <w:pPr>
        <w:spacing w:line="480" w:lineRule="exact"/>
        <w:ind w:firstLine="448" w:firstLineChars="200"/>
        <w:rPr>
          <w:sz w:val="24"/>
          <w:szCs w:val="24"/>
        </w:rPr>
      </w:pPr>
      <w:r>
        <w:rPr>
          <w:rFonts w:hAnsiTheme="minorEastAsia"/>
          <w:sz w:val="24"/>
          <w:szCs w:val="24"/>
        </w:rPr>
        <w:t>第十七条</w:t>
      </w:r>
      <w:r>
        <w:rPr>
          <w:rFonts w:hint="eastAsia" w:hAnsiTheme="minorEastAsia"/>
          <w:sz w:val="24"/>
          <w:szCs w:val="24"/>
        </w:rPr>
        <w:t xml:space="preserve"> </w:t>
      </w:r>
      <w:r>
        <w:rPr>
          <w:rFonts w:hAnsiTheme="minorEastAsia"/>
          <w:sz w:val="24"/>
          <w:szCs w:val="24"/>
        </w:rPr>
        <w:t>合同生效</w:t>
      </w:r>
    </w:p>
    <w:p w14:paraId="5FC584A7">
      <w:pPr>
        <w:spacing w:line="480" w:lineRule="exact"/>
        <w:ind w:firstLine="448" w:firstLineChars="200"/>
        <w:rPr>
          <w:sz w:val="24"/>
          <w:szCs w:val="24"/>
        </w:rPr>
      </w:pPr>
      <w:r>
        <w:rPr>
          <w:rFonts w:hAnsiTheme="minorEastAsia"/>
          <w:sz w:val="24"/>
          <w:szCs w:val="24"/>
        </w:rPr>
        <w:t>本合同一式份，甲方持份，</w:t>
      </w:r>
      <w:r>
        <w:rPr>
          <w:rFonts w:hint="eastAsia" w:hAnsiTheme="minorEastAsia"/>
          <w:sz w:val="24"/>
          <w:szCs w:val="24"/>
        </w:rPr>
        <w:t>乙</w:t>
      </w:r>
      <w:r>
        <w:rPr>
          <w:rFonts w:hAnsiTheme="minorEastAsia"/>
          <w:sz w:val="24"/>
          <w:szCs w:val="24"/>
        </w:rPr>
        <w:t>方持份，均具同等效力，签字盖章后生效。</w:t>
      </w:r>
    </w:p>
    <w:p w14:paraId="50F1F314">
      <w:pPr>
        <w:spacing w:line="480" w:lineRule="exact"/>
        <w:ind w:firstLine="448" w:firstLineChars="200"/>
        <w:rPr>
          <w:sz w:val="24"/>
          <w:szCs w:val="24"/>
        </w:rPr>
      </w:pPr>
    </w:p>
    <w:p w14:paraId="7B88770B">
      <w:pPr>
        <w:tabs>
          <w:tab w:val="left" w:pos="360"/>
        </w:tabs>
        <w:spacing w:line="516" w:lineRule="exact"/>
        <w:ind w:firstLine="448" w:firstLineChars="200"/>
        <w:rPr>
          <w:color w:val="000000"/>
          <w:sz w:val="24"/>
          <w:szCs w:val="24"/>
        </w:rPr>
      </w:pPr>
      <w:r>
        <w:rPr>
          <w:rFonts w:hAnsiTheme="minorEastAsia"/>
          <w:sz w:val="24"/>
          <w:szCs w:val="24"/>
        </w:rPr>
        <w:t>采购人</w:t>
      </w:r>
      <w:r>
        <w:rPr>
          <w:sz w:val="24"/>
          <w:szCs w:val="24"/>
        </w:rPr>
        <w:t>-</w:t>
      </w:r>
      <w:r>
        <w:rPr>
          <w:rFonts w:hAnsiTheme="minorEastAsia"/>
          <w:sz w:val="24"/>
          <w:szCs w:val="24"/>
        </w:rPr>
        <w:t>甲方（公章）</w:t>
      </w:r>
      <w:r>
        <w:rPr>
          <w:rFonts w:hAnsiTheme="minorEastAsia"/>
          <w:color w:val="000000"/>
          <w:sz w:val="24"/>
          <w:szCs w:val="24"/>
        </w:rPr>
        <w:t>：</w:t>
      </w:r>
      <w:r>
        <w:rPr>
          <w:rFonts w:hAnsiTheme="minorEastAsia"/>
          <w:sz w:val="24"/>
          <w:szCs w:val="24"/>
        </w:rPr>
        <w:t>供应商</w:t>
      </w:r>
      <w:r>
        <w:rPr>
          <w:sz w:val="24"/>
          <w:szCs w:val="24"/>
        </w:rPr>
        <w:t>-</w:t>
      </w:r>
      <w:r>
        <w:rPr>
          <w:rFonts w:hAnsiTheme="minorEastAsia"/>
          <w:sz w:val="24"/>
          <w:szCs w:val="24"/>
        </w:rPr>
        <w:t>乙方（公章）</w:t>
      </w:r>
      <w:r>
        <w:rPr>
          <w:rFonts w:hAnsiTheme="minorEastAsia"/>
          <w:color w:val="000000"/>
          <w:sz w:val="24"/>
          <w:szCs w:val="24"/>
        </w:rPr>
        <w:t>：</w:t>
      </w:r>
    </w:p>
    <w:p w14:paraId="0EF68C8C">
      <w:pPr>
        <w:tabs>
          <w:tab w:val="left" w:pos="0"/>
          <w:tab w:val="left" w:pos="315"/>
        </w:tabs>
        <w:spacing w:line="516" w:lineRule="exact"/>
        <w:ind w:firstLine="448" w:firstLineChars="200"/>
        <w:rPr>
          <w:color w:val="000000"/>
          <w:sz w:val="24"/>
          <w:szCs w:val="24"/>
        </w:rPr>
      </w:pPr>
      <w:r>
        <w:rPr>
          <w:rFonts w:hAnsiTheme="minorEastAsia"/>
          <w:color w:val="000000"/>
          <w:sz w:val="24"/>
          <w:szCs w:val="24"/>
        </w:rPr>
        <w:t>地址：地址：</w:t>
      </w:r>
    </w:p>
    <w:p w14:paraId="59827325">
      <w:pPr>
        <w:tabs>
          <w:tab w:val="left" w:pos="0"/>
          <w:tab w:val="left" w:pos="315"/>
        </w:tabs>
        <w:spacing w:line="516" w:lineRule="exact"/>
        <w:ind w:firstLine="448" w:firstLineChars="200"/>
        <w:rPr>
          <w:color w:val="000000"/>
          <w:sz w:val="24"/>
          <w:szCs w:val="24"/>
        </w:rPr>
      </w:pPr>
      <w:r>
        <w:rPr>
          <w:rFonts w:hAnsiTheme="minorEastAsia"/>
          <w:color w:val="000000"/>
          <w:sz w:val="24"/>
          <w:szCs w:val="24"/>
        </w:rPr>
        <w:t>法定代表人：法定代表人：</w:t>
      </w:r>
    </w:p>
    <w:p w14:paraId="5C6A226F">
      <w:pPr>
        <w:tabs>
          <w:tab w:val="left" w:pos="360"/>
        </w:tabs>
        <w:spacing w:line="516" w:lineRule="exact"/>
        <w:ind w:firstLine="448" w:firstLineChars="200"/>
        <w:rPr>
          <w:color w:val="000000"/>
          <w:sz w:val="24"/>
          <w:szCs w:val="24"/>
        </w:rPr>
      </w:pPr>
      <w:r>
        <w:rPr>
          <w:rFonts w:hAnsiTheme="minorEastAsia"/>
          <w:color w:val="000000"/>
          <w:sz w:val="24"/>
          <w:szCs w:val="24"/>
        </w:rPr>
        <w:t>委托代理人：委托代理人：</w:t>
      </w:r>
    </w:p>
    <w:p w14:paraId="38C1B7BA">
      <w:pPr>
        <w:tabs>
          <w:tab w:val="left" w:pos="360"/>
        </w:tabs>
        <w:spacing w:line="516" w:lineRule="exact"/>
        <w:ind w:firstLine="448" w:firstLineChars="200"/>
        <w:rPr>
          <w:color w:val="000000"/>
          <w:sz w:val="24"/>
          <w:szCs w:val="24"/>
        </w:rPr>
      </w:pPr>
      <w:r>
        <w:rPr>
          <w:rFonts w:hAnsiTheme="minorEastAsia"/>
          <w:color w:val="000000"/>
          <w:sz w:val="24"/>
          <w:szCs w:val="24"/>
        </w:rPr>
        <w:t>电话：电话：</w:t>
      </w:r>
    </w:p>
    <w:p w14:paraId="6511BAD5">
      <w:pPr>
        <w:tabs>
          <w:tab w:val="left" w:pos="360"/>
        </w:tabs>
        <w:spacing w:line="516" w:lineRule="exact"/>
        <w:ind w:firstLine="448" w:firstLineChars="200"/>
        <w:rPr>
          <w:color w:val="000000"/>
          <w:sz w:val="24"/>
          <w:szCs w:val="24"/>
        </w:rPr>
      </w:pPr>
      <w:r>
        <w:rPr>
          <w:rFonts w:hAnsiTheme="minorEastAsia"/>
          <w:color w:val="000000"/>
          <w:sz w:val="24"/>
          <w:szCs w:val="24"/>
        </w:rPr>
        <w:t>时间：年月日</w:t>
      </w:r>
    </w:p>
    <w:p w14:paraId="2E19DDDF">
      <w:pPr>
        <w:jc w:val="center"/>
        <w:rPr>
          <w:sz w:val="24"/>
          <w:szCs w:val="24"/>
        </w:rPr>
      </w:pPr>
    </w:p>
    <w:p w14:paraId="2F1E64DC">
      <w:pPr>
        <w:jc w:val="center"/>
        <w:rPr>
          <w:sz w:val="24"/>
          <w:szCs w:val="24"/>
        </w:rPr>
      </w:pPr>
    </w:p>
    <w:p w14:paraId="634198FA">
      <w:pPr>
        <w:widowControl/>
        <w:jc w:val="left"/>
        <w:rPr>
          <w:rFonts w:hAnsiTheme="minorEastAsia"/>
          <w:b/>
          <w:bCs/>
          <w:sz w:val="24"/>
          <w:szCs w:val="24"/>
        </w:rPr>
      </w:pPr>
      <w:r>
        <w:rPr>
          <w:rFonts w:hAnsiTheme="minorEastAsia"/>
          <w:b/>
          <w:bCs/>
          <w:sz w:val="24"/>
          <w:szCs w:val="24"/>
        </w:rPr>
        <w:br w:type="page"/>
      </w:r>
    </w:p>
    <w:p w14:paraId="2A527472">
      <w:pPr>
        <w:widowControl/>
        <w:jc w:val="center"/>
        <w:rPr>
          <w:b/>
          <w:bCs/>
          <w:sz w:val="24"/>
          <w:szCs w:val="24"/>
        </w:rPr>
      </w:pPr>
      <w:r>
        <w:rPr>
          <w:rFonts w:hAnsiTheme="minorEastAsia"/>
          <w:b/>
          <w:bCs/>
          <w:sz w:val="24"/>
          <w:szCs w:val="24"/>
        </w:rPr>
        <w:t>合同特殊条款</w:t>
      </w:r>
    </w:p>
    <w:p w14:paraId="756274C0">
      <w:pPr>
        <w:tabs>
          <w:tab w:val="left" w:pos="360"/>
        </w:tabs>
        <w:spacing w:line="520" w:lineRule="exact"/>
        <w:ind w:firstLine="383" w:firstLineChars="171"/>
        <w:rPr>
          <w:color w:val="000000"/>
          <w:sz w:val="24"/>
          <w:szCs w:val="24"/>
        </w:rPr>
      </w:pPr>
    </w:p>
    <w:p w14:paraId="46366EEA">
      <w:pPr>
        <w:tabs>
          <w:tab w:val="left" w:pos="360"/>
        </w:tabs>
        <w:spacing w:line="520" w:lineRule="exact"/>
        <w:ind w:firstLine="383" w:firstLineChars="171"/>
        <w:rPr>
          <w:color w:val="000000"/>
          <w:sz w:val="24"/>
          <w:szCs w:val="24"/>
        </w:rPr>
      </w:pPr>
      <w:r>
        <w:rPr>
          <w:rFonts w:hAnsiTheme="minorEastAsia"/>
          <w:color w:val="000000"/>
          <w:sz w:val="24"/>
          <w:szCs w:val="24"/>
        </w:rPr>
        <w:t>合同特殊条款是合同一般条款的补充和修改。如果两者之间有抵触，应以特殊条款为准。</w:t>
      </w:r>
    </w:p>
    <w:p w14:paraId="3BAF015D">
      <w:pPr>
        <w:tabs>
          <w:tab w:val="left" w:pos="360"/>
        </w:tabs>
        <w:spacing w:line="520" w:lineRule="exact"/>
        <w:ind w:firstLine="383" w:firstLineChars="171"/>
        <w:rPr>
          <w:color w:val="000000"/>
          <w:sz w:val="24"/>
          <w:szCs w:val="24"/>
        </w:rPr>
      </w:pPr>
      <w:r>
        <w:rPr>
          <w:rFonts w:hAnsiTheme="minorEastAsia"/>
          <w:color w:val="000000"/>
          <w:sz w:val="24"/>
          <w:szCs w:val="24"/>
        </w:rPr>
        <w:t>合同特殊条款由甲、乙双方根据采购项目的具体情况协商拟订。</w:t>
      </w:r>
    </w:p>
    <w:p w14:paraId="39557E44">
      <w:pPr>
        <w:autoSpaceDN w:val="0"/>
        <w:spacing w:line="360" w:lineRule="auto"/>
        <w:rPr>
          <w:b/>
          <w:bCs/>
        </w:rPr>
      </w:pPr>
    </w:p>
    <w:p w14:paraId="0D78E963">
      <w:pPr>
        <w:autoSpaceDN w:val="0"/>
        <w:spacing w:line="360" w:lineRule="auto"/>
        <w:rPr>
          <w:b/>
          <w:bCs/>
        </w:rPr>
      </w:pPr>
    </w:p>
    <w:p w14:paraId="4DD4C3BE">
      <w:pPr>
        <w:widowControl/>
        <w:jc w:val="left"/>
        <w:rPr>
          <w:b/>
          <w:bCs/>
        </w:rPr>
      </w:pPr>
      <w:r>
        <w:rPr>
          <w:b/>
          <w:bCs/>
        </w:rPr>
        <w:br w:type="page"/>
      </w:r>
    </w:p>
    <w:p w14:paraId="2755639D">
      <w:pPr>
        <w:pStyle w:val="16"/>
        <w:rPr>
          <w:rFonts w:ascii="Times New Roman" w:hAnsi="Times New Roman"/>
        </w:rPr>
      </w:pPr>
      <w:r>
        <w:rPr>
          <w:rFonts w:ascii="Times New Roman" w:hAnsiTheme="minorEastAsia"/>
        </w:rPr>
        <w:t>第五部分投标文件格式</w:t>
      </w:r>
    </w:p>
    <w:p w14:paraId="479594C7">
      <w:pPr>
        <w:autoSpaceDN w:val="0"/>
        <w:spacing w:line="360" w:lineRule="auto"/>
        <w:jc w:val="center"/>
        <w:rPr>
          <w:b/>
          <w:bCs/>
          <w:sz w:val="24"/>
        </w:rPr>
      </w:pPr>
      <w:r>
        <w:rPr>
          <w:rFonts w:hAnsiTheme="minorEastAsia"/>
          <w:b/>
          <w:bCs/>
          <w:sz w:val="24"/>
        </w:rPr>
        <w:t>投标文件封面格式</w:t>
      </w:r>
    </w:p>
    <w:p w14:paraId="22F6E962">
      <w:pPr>
        <w:autoSpaceDE w:val="0"/>
        <w:autoSpaceDN w:val="0"/>
        <w:adjustRightInd w:val="0"/>
        <w:spacing w:line="520" w:lineRule="exact"/>
      </w:pPr>
    </w:p>
    <w:p w14:paraId="56BFE059">
      <w:pPr>
        <w:autoSpaceDE w:val="0"/>
        <w:autoSpaceDN w:val="0"/>
        <w:adjustRightInd w:val="0"/>
        <w:spacing w:line="520" w:lineRule="exact"/>
        <w:rPr>
          <w:b/>
          <w:kern w:val="0"/>
          <w:sz w:val="24"/>
        </w:rPr>
      </w:pPr>
    </w:p>
    <w:p w14:paraId="7029ADD8">
      <w:pPr>
        <w:autoSpaceDE w:val="0"/>
        <w:autoSpaceDN w:val="0"/>
        <w:adjustRightInd w:val="0"/>
        <w:spacing w:line="520" w:lineRule="exact"/>
        <w:rPr>
          <w:b/>
          <w:kern w:val="0"/>
          <w:sz w:val="24"/>
        </w:rPr>
      </w:pPr>
    </w:p>
    <w:p w14:paraId="749684B0">
      <w:pPr>
        <w:autoSpaceDE w:val="0"/>
        <w:autoSpaceDN w:val="0"/>
        <w:adjustRightInd w:val="0"/>
        <w:spacing w:line="520" w:lineRule="exact"/>
        <w:rPr>
          <w:b/>
          <w:kern w:val="0"/>
          <w:sz w:val="24"/>
        </w:rPr>
      </w:pPr>
    </w:p>
    <w:p w14:paraId="53FCBAC9">
      <w:pPr>
        <w:autoSpaceDE w:val="0"/>
        <w:autoSpaceDN w:val="0"/>
        <w:adjustRightInd w:val="0"/>
        <w:jc w:val="center"/>
        <w:rPr>
          <w:kern w:val="0"/>
          <w:sz w:val="144"/>
          <w:szCs w:val="144"/>
        </w:rPr>
      </w:pPr>
      <w:r>
        <w:rPr>
          <w:rFonts w:hAnsiTheme="minorEastAsia"/>
          <w:sz w:val="160"/>
          <w:szCs w:val="84"/>
        </w:rPr>
        <w:t>投标文件</w:t>
      </w:r>
    </w:p>
    <w:p w14:paraId="6DB8BE9A">
      <w:pPr>
        <w:autoSpaceDE w:val="0"/>
        <w:autoSpaceDN w:val="0"/>
        <w:adjustRightInd w:val="0"/>
        <w:spacing w:line="520" w:lineRule="exact"/>
        <w:rPr>
          <w:b/>
          <w:kern w:val="0"/>
          <w:sz w:val="36"/>
          <w:szCs w:val="36"/>
        </w:rPr>
      </w:pPr>
    </w:p>
    <w:p w14:paraId="1C3FDBCF">
      <w:pPr>
        <w:autoSpaceDE w:val="0"/>
        <w:autoSpaceDN w:val="0"/>
        <w:adjustRightInd w:val="0"/>
        <w:spacing w:line="520" w:lineRule="exact"/>
        <w:jc w:val="center"/>
        <w:rPr>
          <w:b/>
          <w:color w:val="FF0000"/>
          <w:kern w:val="0"/>
          <w:sz w:val="24"/>
        </w:rPr>
      </w:pPr>
      <w:r>
        <w:rPr>
          <w:rFonts w:hAnsiTheme="minorEastAsia"/>
          <w:b/>
          <w:color w:val="FF0000"/>
          <w:kern w:val="0"/>
          <w:sz w:val="24"/>
        </w:rPr>
        <w:t>（加盖电子签章）</w:t>
      </w:r>
    </w:p>
    <w:p w14:paraId="5CC073A9">
      <w:pPr>
        <w:spacing w:beforeLines="30" w:afterLines="70" w:line="540" w:lineRule="exact"/>
        <w:ind w:left="582" w:leftChars="300"/>
        <w:rPr>
          <w:b/>
          <w:sz w:val="34"/>
          <w:szCs w:val="34"/>
        </w:rPr>
      </w:pPr>
      <w:r>
        <w:rPr>
          <w:rFonts w:hAnsiTheme="minorEastAsia"/>
          <w:b/>
          <w:sz w:val="34"/>
          <w:szCs w:val="34"/>
        </w:rPr>
        <w:t>项目编号：</w:t>
      </w:r>
    </w:p>
    <w:p w14:paraId="5F8E5D6B">
      <w:pPr>
        <w:spacing w:beforeLines="30" w:afterLines="70" w:line="540" w:lineRule="exact"/>
        <w:ind w:left="2027" w:leftChars="300" w:hanging="1445" w:hangingChars="446"/>
        <w:rPr>
          <w:b/>
          <w:sz w:val="34"/>
          <w:szCs w:val="34"/>
        </w:rPr>
      </w:pPr>
      <w:r>
        <w:rPr>
          <w:rFonts w:hAnsiTheme="minorEastAsia"/>
          <w:b/>
          <w:sz w:val="34"/>
          <w:szCs w:val="34"/>
        </w:rPr>
        <w:t>项目名称：</w:t>
      </w:r>
    </w:p>
    <w:p w14:paraId="5B8DD2BA">
      <w:pPr>
        <w:spacing w:beforeLines="30" w:afterLines="70" w:line="540" w:lineRule="exact"/>
        <w:ind w:left="2027" w:leftChars="300" w:hanging="1445" w:hangingChars="446"/>
        <w:rPr>
          <w:b/>
          <w:sz w:val="34"/>
          <w:szCs w:val="34"/>
        </w:rPr>
      </w:pPr>
      <w:r>
        <w:rPr>
          <w:rFonts w:hAnsiTheme="minorEastAsia"/>
          <w:b/>
          <w:sz w:val="34"/>
          <w:szCs w:val="34"/>
        </w:rPr>
        <w:t>投标包号：</w:t>
      </w:r>
    </w:p>
    <w:p w14:paraId="292F5D3E">
      <w:pPr>
        <w:spacing w:beforeLines="30" w:afterLines="70" w:line="540" w:lineRule="exact"/>
        <w:ind w:left="582" w:leftChars="300"/>
        <w:rPr>
          <w:b/>
          <w:sz w:val="34"/>
          <w:szCs w:val="34"/>
        </w:rPr>
      </w:pPr>
      <w:r>
        <w:rPr>
          <w:rFonts w:hAnsiTheme="minorEastAsia"/>
          <w:b/>
          <w:sz w:val="34"/>
          <w:szCs w:val="34"/>
        </w:rPr>
        <w:t>投标单位名称：</w:t>
      </w:r>
    </w:p>
    <w:p w14:paraId="7DB26630">
      <w:pPr>
        <w:spacing w:beforeLines="30" w:afterLines="70" w:line="540" w:lineRule="exact"/>
        <w:ind w:left="582" w:leftChars="300"/>
        <w:rPr>
          <w:b/>
          <w:kern w:val="0"/>
          <w:sz w:val="34"/>
          <w:szCs w:val="34"/>
        </w:rPr>
      </w:pPr>
      <w:r>
        <w:rPr>
          <w:rFonts w:hint="eastAsia" w:hAnsiTheme="minorEastAsia"/>
          <w:b/>
          <w:kern w:val="0"/>
          <w:sz w:val="34"/>
          <w:szCs w:val="34"/>
        </w:rPr>
        <w:t>投标代表人姓名：</w:t>
      </w:r>
    </w:p>
    <w:p w14:paraId="596C36B4">
      <w:pPr>
        <w:tabs>
          <w:tab w:val="left" w:pos="1260"/>
          <w:tab w:val="center" w:pos="4156"/>
        </w:tabs>
        <w:autoSpaceDE w:val="0"/>
        <w:autoSpaceDN w:val="0"/>
        <w:adjustRightInd w:val="0"/>
        <w:spacing w:line="360" w:lineRule="auto"/>
        <w:ind w:firstLine="648" w:firstLineChars="200"/>
        <w:outlineLvl w:val="0"/>
        <w:rPr>
          <w:b/>
          <w:sz w:val="34"/>
          <w:szCs w:val="34"/>
        </w:rPr>
      </w:pPr>
    </w:p>
    <w:p w14:paraId="1FC7B940">
      <w:pPr>
        <w:tabs>
          <w:tab w:val="left" w:pos="1260"/>
          <w:tab w:val="center" w:pos="4156"/>
        </w:tabs>
        <w:autoSpaceDE w:val="0"/>
        <w:autoSpaceDN w:val="0"/>
        <w:adjustRightInd w:val="0"/>
        <w:spacing w:line="360" w:lineRule="auto"/>
        <w:ind w:firstLine="648" w:firstLineChars="200"/>
        <w:outlineLvl w:val="0"/>
        <w:rPr>
          <w:b/>
          <w:sz w:val="34"/>
          <w:szCs w:val="34"/>
        </w:rPr>
      </w:pPr>
    </w:p>
    <w:p w14:paraId="115F1CF1">
      <w:pPr>
        <w:tabs>
          <w:tab w:val="left" w:pos="1260"/>
          <w:tab w:val="center" w:pos="4156"/>
        </w:tabs>
        <w:autoSpaceDE w:val="0"/>
        <w:autoSpaceDN w:val="0"/>
        <w:adjustRightInd w:val="0"/>
        <w:spacing w:line="360" w:lineRule="auto"/>
        <w:ind w:firstLine="648" w:firstLineChars="200"/>
        <w:outlineLvl w:val="0"/>
        <w:rPr>
          <w:b/>
          <w:sz w:val="34"/>
          <w:szCs w:val="34"/>
        </w:rPr>
      </w:pPr>
    </w:p>
    <w:p w14:paraId="53367B4A">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rFonts w:hAnsiTheme="minorEastAsia"/>
          <w:b/>
          <w:sz w:val="34"/>
          <w:szCs w:val="34"/>
        </w:rPr>
        <w:t>投标日期：年月日</w:t>
      </w:r>
    </w:p>
    <w:p w14:paraId="6F59AC96">
      <w:pPr>
        <w:widowControl/>
        <w:jc w:val="left"/>
        <w:rPr>
          <w:b/>
          <w:sz w:val="24"/>
        </w:rPr>
      </w:pPr>
      <w:r>
        <w:rPr>
          <w:b/>
          <w:sz w:val="24"/>
        </w:rPr>
        <w:br w:type="page"/>
      </w:r>
    </w:p>
    <w:p w14:paraId="4AF50A0F">
      <w:pPr>
        <w:autoSpaceDN w:val="0"/>
        <w:spacing w:line="360" w:lineRule="auto"/>
        <w:jc w:val="center"/>
        <w:rPr>
          <w:b/>
          <w:bCs/>
          <w:sz w:val="24"/>
        </w:rPr>
      </w:pPr>
      <w:r>
        <w:rPr>
          <w:rFonts w:hAnsiTheme="minorEastAsia"/>
          <w:b/>
          <w:bCs/>
          <w:sz w:val="24"/>
        </w:rPr>
        <w:t>投标文件总目录</w:t>
      </w:r>
    </w:p>
    <w:p w14:paraId="16294082">
      <w:pPr>
        <w:autoSpaceDN w:val="0"/>
        <w:spacing w:line="360" w:lineRule="auto"/>
        <w:jc w:val="center"/>
        <w:rPr>
          <w:b/>
          <w:bCs/>
          <w:sz w:val="24"/>
        </w:rPr>
      </w:pPr>
      <w:r>
        <w:rPr>
          <w:rFonts w:hAnsiTheme="minorEastAsia"/>
          <w:b/>
          <w:bCs/>
          <w:sz w:val="24"/>
        </w:rPr>
        <w:t>（投标人自行编制）</w:t>
      </w:r>
    </w:p>
    <w:p w14:paraId="572B2655">
      <w:pPr>
        <w:widowControl/>
        <w:jc w:val="left"/>
        <w:rPr>
          <w:b/>
          <w:sz w:val="24"/>
        </w:rPr>
      </w:pPr>
      <w:r>
        <w:rPr>
          <w:b/>
          <w:sz w:val="24"/>
        </w:rPr>
        <w:br w:type="page"/>
      </w:r>
    </w:p>
    <w:p w14:paraId="787CA591">
      <w:pPr>
        <w:widowControl/>
        <w:jc w:val="center"/>
        <w:rPr>
          <w:b/>
          <w:sz w:val="24"/>
        </w:rPr>
      </w:pPr>
      <w:r>
        <w:rPr>
          <w:rFonts w:hAnsiTheme="minorEastAsia"/>
          <w:b/>
          <w:sz w:val="24"/>
        </w:rPr>
        <w:t>评分因素及评标标准页码检索</w:t>
      </w:r>
    </w:p>
    <w:p w14:paraId="67833C1B">
      <w:pPr>
        <w:widowControl/>
        <w:jc w:val="center"/>
        <w:rPr>
          <w:b/>
          <w:sz w:val="24"/>
        </w:rPr>
      </w:pPr>
      <w:r>
        <w:rPr>
          <w:rFonts w:hAnsiTheme="minorEastAsia"/>
          <w:b/>
          <w:bCs/>
          <w:sz w:val="24"/>
        </w:rPr>
        <w:t>（需投标人按招标文件</w:t>
      </w:r>
      <w:r>
        <w:rPr>
          <w:b/>
          <w:bCs/>
          <w:sz w:val="24"/>
        </w:rPr>
        <w:t>“</w:t>
      </w:r>
      <w:r>
        <w:rPr>
          <w:rFonts w:hAnsiTheme="minorEastAsia"/>
          <w:b/>
          <w:bCs/>
          <w:sz w:val="24"/>
        </w:rPr>
        <w:t>评分因素及评标标准</w:t>
      </w:r>
      <w:r>
        <w:rPr>
          <w:b/>
          <w:bCs/>
          <w:sz w:val="24"/>
        </w:rPr>
        <w:t>”</w:t>
      </w:r>
      <w:r>
        <w:rPr>
          <w:rFonts w:hAnsiTheme="minorEastAsia"/>
          <w:b/>
          <w:bCs/>
          <w:sz w:val="24"/>
        </w:rPr>
        <w:t>中每个评分项逐项列明页码）</w:t>
      </w:r>
    </w:p>
    <w:p w14:paraId="358AD583">
      <w:pPr>
        <w:widowControl/>
        <w:jc w:val="left"/>
        <w:rPr>
          <w:b/>
          <w:sz w:val="24"/>
        </w:rPr>
      </w:pPr>
    </w:p>
    <w:p w14:paraId="066FFFBF">
      <w:pPr>
        <w:widowControl/>
        <w:jc w:val="left"/>
        <w:rPr>
          <w:sz w:val="24"/>
        </w:rPr>
      </w:pPr>
      <w:r>
        <w:rPr>
          <w:b/>
          <w:sz w:val="24"/>
        </w:rPr>
        <w:br w:type="page"/>
      </w:r>
      <w:r>
        <w:rPr>
          <w:rFonts w:hAnsiTheme="minorEastAsia"/>
          <w:b/>
          <w:sz w:val="24"/>
        </w:rPr>
        <w:t>附件</w:t>
      </w:r>
      <w:r>
        <w:rPr>
          <w:b/>
          <w:sz w:val="24"/>
        </w:rPr>
        <w:t>1</w:t>
      </w:r>
    </w:p>
    <w:p w14:paraId="5D1FF3EB">
      <w:pPr>
        <w:tabs>
          <w:tab w:val="left" w:pos="360"/>
        </w:tabs>
        <w:spacing w:line="560" w:lineRule="exact"/>
        <w:jc w:val="center"/>
        <w:rPr>
          <w:b/>
          <w:sz w:val="24"/>
        </w:rPr>
      </w:pPr>
      <w:r>
        <w:rPr>
          <w:rFonts w:hAnsiTheme="minorEastAsia"/>
          <w:b/>
          <w:sz w:val="24"/>
        </w:rPr>
        <w:t>投标书</w:t>
      </w:r>
    </w:p>
    <w:p w14:paraId="1FFEF306">
      <w:pPr>
        <w:spacing w:line="560" w:lineRule="exact"/>
        <w:rPr>
          <w:sz w:val="24"/>
        </w:rPr>
      </w:pPr>
      <w:r>
        <w:rPr>
          <w:rFonts w:hAnsiTheme="minorEastAsia"/>
          <w:sz w:val="24"/>
        </w:rPr>
        <w:t>致：天津市</w:t>
      </w:r>
      <w:r>
        <w:rPr>
          <w:rFonts w:hint="eastAsia" w:hAnsiTheme="minorEastAsia"/>
          <w:sz w:val="24"/>
        </w:rPr>
        <w:t>滨海新区</w:t>
      </w:r>
      <w:r>
        <w:rPr>
          <w:rFonts w:hAnsiTheme="minorEastAsia"/>
          <w:sz w:val="24"/>
        </w:rPr>
        <w:t>政府采购中心</w:t>
      </w:r>
    </w:p>
    <w:p w14:paraId="163364F6">
      <w:pPr>
        <w:spacing w:line="360" w:lineRule="auto"/>
        <w:ind w:firstLine="448" w:firstLineChars="200"/>
        <w:rPr>
          <w:sz w:val="24"/>
        </w:rPr>
      </w:pPr>
      <w:r>
        <w:rPr>
          <w:rFonts w:hAnsiTheme="minorEastAsia"/>
          <w:sz w:val="24"/>
        </w:rPr>
        <w:t>根据贵方为</w:t>
      </w:r>
      <w:r>
        <w:rPr>
          <w:rFonts w:hint="eastAsia" w:hAnsiTheme="minorEastAsia"/>
          <w:sz w:val="24"/>
        </w:rPr>
        <w:t xml:space="preserve">       </w:t>
      </w:r>
      <w:r>
        <w:rPr>
          <w:rFonts w:hAnsiTheme="minorEastAsia"/>
          <w:sz w:val="24"/>
        </w:rPr>
        <w:t>项目（项目编号：</w:t>
      </w:r>
      <w:r>
        <w:rPr>
          <w:rFonts w:hint="eastAsia" w:hAnsiTheme="minorEastAsia"/>
          <w:sz w:val="24"/>
        </w:rPr>
        <w:t xml:space="preserve">       </w:t>
      </w:r>
      <w:r>
        <w:rPr>
          <w:rFonts w:hAnsiTheme="minorEastAsia"/>
          <w:sz w:val="24"/>
        </w:rPr>
        <w:t>）的投标邀请，投标人代表（姓名</w:t>
      </w:r>
      <w:r>
        <w:rPr>
          <w:sz w:val="24"/>
          <w:lang w:val="en-GB"/>
        </w:rPr>
        <w:t>/</w:t>
      </w:r>
      <w:r>
        <w:rPr>
          <w:rFonts w:hAnsiTheme="minorEastAsia"/>
          <w:sz w:val="24"/>
        </w:rPr>
        <w:t>职务）经正式授权并代表我公司（投标单位名称、地址）提交网上应答及上传加盖电子签章的投标文件。</w:t>
      </w:r>
    </w:p>
    <w:p w14:paraId="46F0C36B">
      <w:pPr>
        <w:spacing w:line="360" w:lineRule="auto"/>
        <w:ind w:firstLine="448" w:firstLineChars="200"/>
        <w:rPr>
          <w:sz w:val="24"/>
        </w:rPr>
      </w:pPr>
      <w:r>
        <w:rPr>
          <w:rFonts w:hAnsiTheme="minorEastAsia"/>
          <w:sz w:val="24"/>
        </w:rPr>
        <w:t>据此函，投标人代表宣布同意如下：</w:t>
      </w:r>
    </w:p>
    <w:p w14:paraId="38D42368">
      <w:pPr>
        <w:spacing w:line="360" w:lineRule="auto"/>
        <w:ind w:firstLine="448" w:firstLineChars="200"/>
        <w:rPr>
          <w:sz w:val="24"/>
        </w:rPr>
      </w:pPr>
      <w:r>
        <w:rPr>
          <w:sz w:val="24"/>
        </w:rPr>
        <w:t xml:space="preserve">1. </w:t>
      </w:r>
      <w:r>
        <w:rPr>
          <w:rFonts w:hAnsiTheme="minorEastAsia"/>
          <w:sz w:val="24"/>
        </w:rPr>
        <w:t>所附投标报价表中规定的应提供服务的投标总价为：</w:t>
      </w:r>
    </w:p>
    <w:p w14:paraId="3C9F596B">
      <w:pPr>
        <w:spacing w:line="360" w:lineRule="auto"/>
        <w:ind w:firstLine="448" w:firstLineChars="200"/>
        <w:rPr>
          <w:sz w:val="24"/>
        </w:rPr>
      </w:pPr>
      <w:r>
        <w:rPr>
          <w:rFonts w:hAnsiTheme="minorEastAsia"/>
          <w:sz w:val="24"/>
        </w:rPr>
        <w:t>第包，￥元（人民币），大写。</w:t>
      </w:r>
    </w:p>
    <w:p w14:paraId="4D6E21C0">
      <w:pPr>
        <w:spacing w:line="360" w:lineRule="auto"/>
        <w:ind w:firstLine="448" w:firstLineChars="200"/>
        <w:rPr>
          <w:sz w:val="24"/>
        </w:rPr>
      </w:pPr>
      <w:r>
        <w:rPr>
          <w:sz w:val="24"/>
        </w:rPr>
        <w:t>……</w:t>
      </w:r>
    </w:p>
    <w:p w14:paraId="6404C9CB">
      <w:pPr>
        <w:spacing w:line="360" w:lineRule="auto"/>
        <w:ind w:firstLine="448" w:firstLineChars="200"/>
        <w:rPr>
          <w:sz w:val="24"/>
        </w:rPr>
      </w:pPr>
      <w:r>
        <w:rPr>
          <w:sz w:val="24"/>
        </w:rPr>
        <w:t xml:space="preserve">2. </w:t>
      </w:r>
      <w:r>
        <w:rPr>
          <w:rFonts w:hAnsiTheme="minorEastAsia"/>
          <w:sz w:val="24"/>
        </w:rPr>
        <w:t>我公司将按招标文件的规定履行合同责任和义务。</w:t>
      </w:r>
    </w:p>
    <w:p w14:paraId="7A72F0A3">
      <w:pPr>
        <w:spacing w:line="360" w:lineRule="auto"/>
        <w:ind w:firstLine="448" w:firstLineChars="200"/>
        <w:rPr>
          <w:sz w:val="24"/>
        </w:rPr>
      </w:pPr>
      <w:r>
        <w:rPr>
          <w:sz w:val="24"/>
        </w:rPr>
        <w:t xml:space="preserve">3. </w:t>
      </w:r>
      <w:r>
        <w:rPr>
          <w:rFonts w:hAnsiTheme="minor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1D255937">
      <w:pPr>
        <w:spacing w:line="360" w:lineRule="auto"/>
        <w:ind w:firstLine="448" w:firstLineChars="200"/>
        <w:rPr>
          <w:sz w:val="24"/>
        </w:rPr>
      </w:pPr>
      <w:r>
        <w:rPr>
          <w:sz w:val="24"/>
        </w:rPr>
        <w:t xml:space="preserve">4. </w:t>
      </w:r>
      <w:r>
        <w:rPr>
          <w:rFonts w:hAnsiTheme="minorEastAsia"/>
          <w:sz w:val="24"/>
        </w:rPr>
        <w:t>我公司的投标有效期为开标之日起</w:t>
      </w:r>
      <w:r>
        <w:rPr>
          <w:sz w:val="24"/>
        </w:rPr>
        <w:t>60</w:t>
      </w:r>
      <w:r>
        <w:rPr>
          <w:rFonts w:hAnsiTheme="minorEastAsia"/>
          <w:sz w:val="24"/>
        </w:rPr>
        <w:t>天。</w:t>
      </w:r>
    </w:p>
    <w:p w14:paraId="04A06F55">
      <w:pPr>
        <w:spacing w:line="360" w:lineRule="auto"/>
        <w:ind w:firstLine="448" w:firstLineChars="200"/>
        <w:rPr>
          <w:sz w:val="24"/>
        </w:rPr>
      </w:pPr>
      <w:r>
        <w:rPr>
          <w:sz w:val="24"/>
        </w:rPr>
        <w:t xml:space="preserve">5. </w:t>
      </w:r>
      <w:r>
        <w:rPr>
          <w:rFonts w:hAnsiTheme="minorEastAsia"/>
          <w:sz w:val="24"/>
        </w:rPr>
        <w:t>我公司同意按照招标方要求提供的与投标有关的一切数据或资料，并声明投标文件及所提供的一切资料均真实有效。由于我公司提供资料不实而造成的责任和后果由我公司自行承担。</w:t>
      </w:r>
    </w:p>
    <w:p w14:paraId="126F3AEE">
      <w:pPr>
        <w:spacing w:line="360" w:lineRule="auto"/>
        <w:ind w:firstLine="448" w:firstLineChars="200"/>
        <w:rPr>
          <w:sz w:val="24"/>
        </w:rPr>
      </w:pPr>
      <w:r>
        <w:rPr>
          <w:sz w:val="24"/>
        </w:rPr>
        <w:t xml:space="preserve">6. </w:t>
      </w:r>
      <w:r>
        <w:rPr>
          <w:rFonts w:hAnsiTheme="minorEastAsia"/>
          <w:sz w:val="24"/>
        </w:rPr>
        <w:t>我公司保证所投产品来自合法的供货渠道，若中标，则有义务向采购人提供其需要的有效书面证明材料。如果提供非法渠道的商品，视为欺诈，并承担相关责任。</w:t>
      </w:r>
    </w:p>
    <w:p w14:paraId="5FA7617E">
      <w:pPr>
        <w:spacing w:line="360" w:lineRule="auto"/>
        <w:ind w:firstLine="448" w:firstLineChars="200"/>
        <w:rPr>
          <w:sz w:val="24"/>
        </w:rPr>
      </w:pPr>
      <w:r>
        <w:rPr>
          <w:sz w:val="24"/>
        </w:rPr>
        <w:t xml:space="preserve">7. </w:t>
      </w:r>
      <w:r>
        <w:rPr>
          <w:rFonts w:hAnsiTheme="minor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491EDDFC">
      <w:pPr>
        <w:spacing w:line="360" w:lineRule="auto"/>
        <w:ind w:firstLine="448" w:firstLineChars="200"/>
        <w:rPr>
          <w:sz w:val="24"/>
        </w:rPr>
      </w:pPr>
      <w:r>
        <w:rPr>
          <w:sz w:val="24"/>
        </w:rPr>
        <w:t xml:space="preserve">8. </w:t>
      </w:r>
      <w:r>
        <w:rPr>
          <w:rFonts w:hAnsiTheme="minorEastAsia"/>
          <w:sz w:val="24"/>
        </w:rPr>
        <w:t>我公司承诺完全符合《政府采购法》、《政府采购法实施条例》等法律法规规定，并随时接受</w:t>
      </w:r>
      <w:r>
        <w:rPr>
          <w:rFonts w:hint="eastAsia" w:hAnsiTheme="minorEastAsia"/>
          <w:sz w:val="24"/>
        </w:rPr>
        <w:t>采购人、采购代理机构</w:t>
      </w:r>
      <w:r>
        <w:rPr>
          <w:rFonts w:hAnsiTheme="minorEastAsia"/>
          <w:sz w:val="24"/>
        </w:rPr>
        <w:t>的检查验证。在整个招标过程中，我公司若有违规行为，我公司完全接受贵中心依照相关法律法规和招标文件的规定给予处罚。</w:t>
      </w:r>
    </w:p>
    <w:p w14:paraId="3917BB2A">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15D3B526">
      <w:pPr>
        <w:spacing w:line="360" w:lineRule="auto"/>
        <w:ind w:firstLine="448" w:firstLineChars="200"/>
        <w:rPr>
          <w:sz w:val="24"/>
        </w:rPr>
      </w:pPr>
      <w:r>
        <w:rPr>
          <w:rFonts w:hint="eastAsia"/>
          <w:sz w:val="24"/>
        </w:rPr>
        <w:t>10</w:t>
      </w:r>
      <w:r>
        <w:rPr>
          <w:sz w:val="24"/>
        </w:rPr>
        <w:t xml:space="preserve">. </w:t>
      </w:r>
      <w:r>
        <w:rPr>
          <w:rFonts w:hAnsiTheme="minorEastAsia"/>
          <w:sz w:val="24"/>
        </w:rPr>
        <w:t>我公司若中标，本承诺将成为合同不可分割的一部分，与合同具有同等的法律效力。</w:t>
      </w:r>
    </w:p>
    <w:p w14:paraId="7DA8BB7F">
      <w:pPr>
        <w:spacing w:line="360" w:lineRule="auto"/>
        <w:ind w:firstLine="448" w:firstLineChars="200"/>
        <w:rPr>
          <w:sz w:val="24"/>
        </w:rPr>
      </w:pPr>
      <w:r>
        <w:rPr>
          <w:sz w:val="24"/>
        </w:rPr>
        <w:t>1</w:t>
      </w:r>
      <w:r>
        <w:rPr>
          <w:rFonts w:hint="eastAsia"/>
          <w:sz w:val="24"/>
        </w:rPr>
        <w:t>1</w:t>
      </w:r>
      <w:r>
        <w:rPr>
          <w:sz w:val="24"/>
        </w:rPr>
        <w:t xml:space="preserve">. </w:t>
      </w:r>
      <w:r>
        <w:rPr>
          <w:rFonts w:hAnsiTheme="minorEastAsia"/>
          <w:sz w:val="24"/>
        </w:rPr>
        <w:t>如违反上述承诺，我公司投标无效且接受相关部门依法作出的处罚，并承担通过</w:t>
      </w:r>
      <w:r>
        <w:rPr>
          <w:sz w:val="24"/>
        </w:rPr>
        <w:t>“</w:t>
      </w:r>
      <w:r>
        <w:rPr>
          <w:rFonts w:hAnsiTheme="minorEastAsia"/>
          <w:sz w:val="24"/>
        </w:rPr>
        <w:t>天津市政府采购网</w:t>
      </w:r>
      <w:r>
        <w:rPr>
          <w:sz w:val="24"/>
        </w:rPr>
        <w:t>”</w:t>
      </w:r>
      <w:r>
        <w:rPr>
          <w:rFonts w:hAnsiTheme="minorEastAsia"/>
          <w:sz w:val="24"/>
        </w:rPr>
        <w:t>等相关媒体予以公布的任何风险和责任。</w:t>
      </w:r>
    </w:p>
    <w:p w14:paraId="0A10050D">
      <w:pPr>
        <w:spacing w:line="360" w:lineRule="auto"/>
        <w:ind w:firstLine="448" w:firstLineChars="200"/>
        <w:rPr>
          <w:sz w:val="24"/>
        </w:rPr>
      </w:pPr>
      <w:r>
        <w:rPr>
          <w:sz w:val="24"/>
        </w:rPr>
        <w:t>1</w:t>
      </w:r>
      <w:r>
        <w:rPr>
          <w:rFonts w:hint="eastAsia"/>
          <w:sz w:val="24"/>
        </w:rPr>
        <w:t>2</w:t>
      </w:r>
      <w:r>
        <w:rPr>
          <w:sz w:val="24"/>
        </w:rPr>
        <w:t xml:space="preserve">. </w:t>
      </w:r>
      <w:r>
        <w:rPr>
          <w:rFonts w:hAnsiTheme="minorEastAsia"/>
          <w:sz w:val="24"/>
        </w:rPr>
        <w:t>与本投标有关的一切正式往来通讯请寄：</w:t>
      </w:r>
    </w:p>
    <w:p w14:paraId="0333F885">
      <w:pPr>
        <w:spacing w:line="360" w:lineRule="auto"/>
        <w:ind w:firstLine="448" w:firstLineChars="200"/>
        <w:rPr>
          <w:sz w:val="24"/>
        </w:rPr>
      </w:pPr>
    </w:p>
    <w:p w14:paraId="539780D6">
      <w:pPr>
        <w:spacing w:line="360" w:lineRule="auto"/>
        <w:ind w:firstLine="448" w:firstLineChars="200"/>
        <w:rPr>
          <w:sz w:val="24"/>
        </w:rPr>
      </w:pPr>
      <w:r>
        <w:rPr>
          <w:rFonts w:hAnsiTheme="minorEastAsia"/>
          <w:sz w:val="24"/>
        </w:rPr>
        <w:t>地址：</w:t>
      </w:r>
    </w:p>
    <w:p w14:paraId="6853624E">
      <w:pPr>
        <w:spacing w:line="360" w:lineRule="auto"/>
        <w:ind w:firstLine="448" w:firstLineChars="200"/>
        <w:rPr>
          <w:sz w:val="24"/>
        </w:rPr>
      </w:pPr>
      <w:r>
        <w:rPr>
          <w:rFonts w:hAnsiTheme="minorEastAsia"/>
          <w:sz w:val="24"/>
        </w:rPr>
        <w:t>邮政编码：</w:t>
      </w:r>
    </w:p>
    <w:p w14:paraId="7A120926">
      <w:pPr>
        <w:spacing w:line="360" w:lineRule="auto"/>
        <w:ind w:firstLine="448" w:firstLineChars="200"/>
        <w:rPr>
          <w:sz w:val="24"/>
        </w:rPr>
      </w:pPr>
      <w:r>
        <w:rPr>
          <w:rFonts w:hAnsiTheme="minorEastAsia"/>
          <w:sz w:val="24"/>
        </w:rPr>
        <w:t>电话：</w:t>
      </w:r>
    </w:p>
    <w:p w14:paraId="45C9AC6F">
      <w:pPr>
        <w:spacing w:line="360" w:lineRule="auto"/>
        <w:ind w:firstLine="448" w:firstLineChars="200"/>
        <w:rPr>
          <w:sz w:val="24"/>
        </w:rPr>
      </w:pPr>
      <w:r>
        <w:rPr>
          <w:rFonts w:hAnsiTheme="minorEastAsia"/>
          <w:sz w:val="24"/>
        </w:rPr>
        <w:t>传真：</w:t>
      </w:r>
    </w:p>
    <w:p w14:paraId="5174511C">
      <w:pPr>
        <w:spacing w:line="360" w:lineRule="auto"/>
        <w:ind w:firstLine="3808" w:firstLineChars="1700"/>
        <w:rPr>
          <w:sz w:val="24"/>
        </w:rPr>
      </w:pPr>
      <w:r>
        <w:rPr>
          <w:rFonts w:hAnsiTheme="minorEastAsia"/>
          <w:sz w:val="24"/>
        </w:rPr>
        <w:t>投标人名称：</w:t>
      </w:r>
    </w:p>
    <w:p w14:paraId="741EA467">
      <w:pPr>
        <w:spacing w:line="360" w:lineRule="auto"/>
        <w:ind w:firstLine="3808" w:firstLineChars="1700"/>
        <w:rPr>
          <w:sz w:val="24"/>
        </w:rPr>
      </w:pPr>
      <w:r>
        <w:rPr>
          <w:rFonts w:hAnsiTheme="minorEastAsia"/>
          <w:sz w:val="24"/>
        </w:rPr>
        <w:t>日期：年月日</w:t>
      </w:r>
    </w:p>
    <w:p w14:paraId="473743A5">
      <w:pPr>
        <w:spacing w:line="560" w:lineRule="exact"/>
        <w:rPr>
          <w:sz w:val="24"/>
        </w:rPr>
      </w:pPr>
    </w:p>
    <w:p w14:paraId="293D9F4C">
      <w:pPr>
        <w:spacing w:line="560" w:lineRule="exact"/>
        <w:rPr>
          <w:sz w:val="24"/>
        </w:rPr>
      </w:pPr>
    </w:p>
    <w:p w14:paraId="0D06D04E">
      <w:pPr>
        <w:spacing w:line="560" w:lineRule="exact"/>
        <w:rPr>
          <w:sz w:val="24"/>
        </w:rPr>
      </w:pPr>
    </w:p>
    <w:p w14:paraId="7CF819A5">
      <w:pPr>
        <w:spacing w:line="560" w:lineRule="exact"/>
        <w:rPr>
          <w:sz w:val="24"/>
        </w:rPr>
      </w:pPr>
    </w:p>
    <w:p w14:paraId="0DF2D1A4">
      <w:pPr>
        <w:widowControl/>
        <w:jc w:val="left"/>
        <w:rPr>
          <w:b/>
          <w:sz w:val="24"/>
        </w:rPr>
      </w:pPr>
      <w:r>
        <w:rPr>
          <w:b/>
          <w:sz w:val="24"/>
        </w:rPr>
        <w:br w:type="page"/>
      </w:r>
    </w:p>
    <w:p w14:paraId="532EDB21">
      <w:pPr>
        <w:spacing w:line="460" w:lineRule="exact"/>
        <w:rPr>
          <w:b/>
          <w:sz w:val="24"/>
        </w:rPr>
      </w:pPr>
      <w:r>
        <w:rPr>
          <w:rFonts w:hAnsiTheme="minorEastAsia"/>
          <w:b/>
          <w:sz w:val="24"/>
        </w:rPr>
        <w:t>附件</w:t>
      </w:r>
      <w:r>
        <w:rPr>
          <w:b/>
          <w:sz w:val="24"/>
        </w:rPr>
        <w:t>2</w:t>
      </w:r>
    </w:p>
    <w:p w14:paraId="253EA419">
      <w:pPr>
        <w:spacing w:line="460" w:lineRule="exact"/>
        <w:rPr>
          <w:b/>
          <w:sz w:val="24"/>
        </w:rPr>
      </w:pPr>
    </w:p>
    <w:p w14:paraId="371431F8">
      <w:pPr>
        <w:ind w:right="84" w:firstLine="420"/>
        <w:jc w:val="center"/>
        <w:rPr>
          <w:b/>
          <w:sz w:val="24"/>
        </w:rPr>
      </w:pPr>
      <w:r>
        <w:rPr>
          <w:rFonts w:hAnsiTheme="minorEastAsia"/>
          <w:b/>
          <w:sz w:val="24"/>
        </w:rPr>
        <w:t>开标一览表</w:t>
      </w:r>
    </w:p>
    <w:p w14:paraId="2EF5D724">
      <w:pPr>
        <w:spacing w:line="460" w:lineRule="exact"/>
        <w:rPr>
          <w:sz w:val="24"/>
        </w:rPr>
      </w:pPr>
      <w:r>
        <w:rPr>
          <w:rFonts w:hAnsiTheme="minorEastAsia"/>
          <w:sz w:val="24"/>
        </w:rPr>
        <w:t>项目名称：</w:t>
      </w:r>
    </w:p>
    <w:p w14:paraId="20453558">
      <w:pPr>
        <w:spacing w:line="460" w:lineRule="exact"/>
        <w:rPr>
          <w:sz w:val="24"/>
        </w:rPr>
      </w:pPr>
      <w:r>
        <w:rPr>
          <w:rFonts w:hAnsiTheme="minorEastAsia"/>
          <w:sz w:val="24"/>
        </w:rPr>
        <w:t>项目编号：</w:t>
      </w:r>
    </w:p>
    <w:p w14:paraId="2834B41E">
      <w:pPr>
        <w:spacing w:line="460" w:lineRule="exact"/>
        <w:rPr>
          <w:sz w:val="24"/>
        </w:rPr>
      </w:pPr>
      <w:r>
        <w:rPr>
          <w:rFonts w:hAnsiTheme="minorEastAsia"/>
          <w:sz w:val="24"/>
        </w:rPr>
        <w:t>单位：元</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23B6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17C08D83">
            <w:pPr>
              <w:spacing w:line="460" w:lineRule="exact"/>
              <w:jc w:val="center"/>
              <w:rPr>
                <w:sz w:val="24"/>
              </w:rPr>
            </w:pPr>
            <w:r>
              <w:rPr>
                <w:rFonts w:hAnsiTheme="minorEastAsia"/>
                <w:sz w:val="24"/>
              </w:rPr>
              <w:t>包号</w:t>
            </w:r>
          </w:p>
        </w:tc>
        <w:tc>
          <w:tcPr>
            <w:tcW w:w="1278" w:type="pct"/>
            <w:vAlign w:val="center"/>
          </w:tcPr>
          <w:p w14:paraId="53B74AE5">
            <w:pPr>
              <w:spacing w:line="460" w:lineRule="exact"/>
              <w:jc w:val="center"/>
              <w:rPr>
                <w:sz w:val="24"/>
              </w:rPr>
            </w:pPr>
            <w:r>
              <w:rPr>
                <w:rFonts w:hAnsiTheme="minorEastAsia"/>
                <w:sz w:val="24"/>
              </w:rPr>
              <w:t>服务名称</w:t>
            </w:r>
          </w:p>
        </w:tc>
        <w:tc>
          <w:tcPr>
            <w:tcW w:w="806" w:type="pct"/>
            <w:vAlign w:val="center"/>
          </w:tcPr>
          <w:p w14:paraId="22C64DC5">
            <w:pPr>
              <w:spacing w:line="460" w:lineRule="exact"/>
              <w:jc w:val="center"/>
              <w:rPr>
                <w:sz w:val="24"/>
              </w:rPr>
            </w:pPr>
            <w:r>
              <w:rPr>
                <w:rFonts w:hAnsiTheme="minorEastAsia"/>
                <w:sz w:val="24"/>
              </w:rPr>
              <w:t>数量</w:t>
            </w:r>
          </w:p>
        </w:tc>
        <w:tc>
          <w:tcPr>
            <w:tcW w:w="1202" w:type="pct"/>
            <w:vAlign w:val="center"/>
          </w:tcPr>
          <w:p w14:paraId="3E25EA88">
            <w:pPr>
              <w:spacing w:line="460" w:lineRule="exact"/>
              <w:jc w:val="center"/>
              <w:rPr>
                <w:sz w:val="24"/>
              </w:rPr>
            </w:pPr>
            <w:r>
              <w:rPr>
                <w:rFonts w:hAnsiTheme="minorEastAsia"/>
                <w:sz w:val="24"/>
              </w:rPr>
              <w:t>投标总价</w:t>
            </w:r>
          </w:p>
        </w:tc>
        <w:tc>
          <w:tcPr>
            <w:tcW w:w="984" w:type="pct"/>
            <w:vAlign w:val="center"/>
          </w:tcPr>
          <w:p w14:paraId="5CB5A21B">
            <w:pPr>
              <w:spacing w:line="460" w:lineRule="exact"/>
              <w:jc w:val="center"/>
              <w:rPr>
                <w:sz w:val="24"/>
              </w:rPr>
            </w:pPr>
            <w:r>
              <w:rPr>
                <w:rFonts w:hAnsiTheme="minorEastAsia"/>
                <w:sz w:val="24"/>
              </w:rPr>
              <w:t>备注</w:t>
            </w:r>
          </w:p>
        </w:tc>
      </w:tr>
      <w:tr w14:paraId="3E87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739F4C3">
            <w:pPr>
              <w:spacing w:line="460" w:lineRule="exact"/>
              <w:rPr>
                <w:sz w:val="24"/>
              </w:rPr>
            </w:pPr>
          </w:p>
        </w:tc>
        <w:tc>
          <w:tcPr>
            <w:tcW w:w="1278" w:type="pct"/>
          </w:tcPr>
          <w:p w14:paraId="27E8D644">
            <w:pPr>
              <w:spacing w:line="460" w:lineRule="exact"/>
              <w:rPr>
                <w:sz w:val="24"/>
              </w:rPr>
            </w:pPr>
          </w:p>
        </w:tc>
        <w:tc>
          <w:tcPr>
            <w:tcW w:w="806" w:type="pct"/>
          </w:tcPr>
          <w:p w14:paraId="671EE792">
            <w:pPr>
              <w:spacing w:line="460" w:lineRule="exact"/>
              <w:rPr>
                <w:sz w:val="24"/>
              </w:rPr>
            </w:pPr>
          </w:p>
        </w:tc>
        <w:tc>
          <w:tcPr>
            <w:tcW w:w="1202" w:type="pct"/>
          </w:tcPr>
          <w:p w14:paraId="75E56C59">
            <w:pPr>
              <w:spacing w:line="460" w:lineRule="exact"/>
              <w:rPr>
                <w:sz w:val="24"/>
              </w:rPr>
            </w:pPr>
          </w:p>
        </w:tc>
        <w:tc>
          <w:tcPr>
            <w:tcW w:w="984" w:type="pct"/>
          </w:tcPr>
          <w:p w14:paraId="6BAD62EE">
            <w:pPr>
              <w:spacing w:line="460" w:lineRule="exact"/>
              <w:rPr>
                <w:sz w:val="24"/>
              </w:rPr>
            </w:pPr>
          </w:p>
        </w:tc>
      </w:tr>
      <w:tr w14:paraId="6245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742B595">
            <w:pPr>
              <w:spacing w:line="460" w:lineRule="exact"/>
              <w:rPr>
                <w:sz w:val="24"/>
              </w:rPr>
            </w:pPr>
          </w:p>
        </w:tc>
        <w:tc>
          <w:tcPr>
            <w:tcW w:w="1278" w:type="pct"/>
          </w:tcPr>
          <w:p w14:paraId="69EFE97F">
            <w:pPr>
              <w:spacing w:line="460" w:lineRule="exact"/>
              <w:rPr>
                <w:sz w:val="24"/>
              </w:rPr>
            </w:pPr>
          </w:p>
        </w:tc>
        <w:tc>
          <w:tcPr>
            <w:tcW w:w="806" w:type="pct"/>
          </w:tcPr>
          <w:p w14:paraId="2FBA7D55">
            <w:pPr>
              <w:spacing w:line="460" w:lineRule="exact"/>
              <w:rPr>
                <w:sz w:val="24"/>
              </w:rPr>
            </w:pPr>
          </w:p>
        </w:tc>
        <w:tc>
          <w:tcPr>
            <w:tcW w:w="1202" w:type="pct"/>
          </w:tcPr>
          <w:p w14:paraId="234CD0B4">
            <w:pPr>
              <w:spacing w:line="460" w:lineRule="exact"/>
              <w:rPr>
                <w:sz w:val="24"/>
              </w:rPr>
            </w:pPr>
          </w:p>
        </w:tc>
        <w:tc>
          <w:tcPr>
            <w:tcW w:w="984" w:type="pct"/>
          </w:tcPr>
          <w:p w14:paraId="05A68EBF">
            <w:pPr>
              <w:spacing w:line="460" w:lineRule="exact"/>
              <w:rPr>
                <w:sz w:val="24"/>
              </w:rPr>
            </w:pPr>
          </w:p>
        </w:tc>
      </w:tr>
      <w:tr w14:paraId="0163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3FEE5C4">
            <w:pPr>
              <w:spacing w:line="460" w:lineRule="exact"/>
              <w:rPr>
                <w:sz w:val="24"/>
              </w:rPr>
            </w:pPr>
          </w:p>
        </w:tc>
        <w:tc>
          <w:tcPr>
            <w:tcW w:w="1278" w:type="pct"/>
          </w:tcPr>
          <w:p w14:paraId="75F14B90">
            <w:pPr>
              <w:spacing w:line="460" w:lineRule="exact"/>
              <w:rPr>
                <w:sz w:val="24"/>
              </w:rPr>
            </w:pPr>
          </w:p>
        </w:tc>
        <w:tc>
          <w:tcPr>
            <w:tcW w:w="806" w:type="pct"/>
          </w:tcPr>
          <w:p w14:paraId="5CD08BD6">
            <w:pPr>
              <w:spacing w:line="460" w:lineRule="exact"/>
              <w:rPr>
                <w:sz w:val="24"/>
              </w:rPr>
            </w:pPr>
          </w:p>
        </w:tc>
        <w:tc>
          <w:tcPr>
            <w:tcW w:w="1202" w:type="pct"/>
          </w:tcPr>
          <w:p w14:paraId="581DBE99">
            <w:pPr>
              <w:spacing w:line="460" w:lineRule="exact"/>
              <w:rPr>
                <w:sz w:val="24"/>
              </w:rPr>
            </w:pPr>
          </w:p>
        </w:tc>
        <w:tc>
          <w:tcPr>
            <w:tcW w:w="984" w:type="pct"/>
          </w:tcPr>
          <w:p w14:paraId="48490B5A">
            <w:pPr>
              <w:spacing w:line="460" w:lineRule="exact"/>
              <w:rPr>
                <w:sz w:val="24"/>
              </w:rPr>
            </w:pPr>
          </w:p>
        </w:tc>
      </w:tr>
      <w:tr w14:paraId="41A0D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6AFAB3B">
            <w:pPr>
              <w:spacing w:line="460" w:lineRule="exact"/>
              <w:rPr>
                <w:sz w:val="24"/>
              </w:rPr>
            </w:pPr>
          </w:p>
        </w:tc>
        <w:tc>
          <w:tcPr>
            <w:tcW w:w="1278" w:type="pct"/>
          </w:tcPr>
          <w:p w14:paraId="4C4A6B7C">
            <w:pPr>
              <w:spacing w:line="460" w:lineRule="exact"/>
              <w:rPr>
                <w:sz w:val="24"/>
              </w:rPr>
            </w:pPr>
          </w:p>
        </w:tc>
        <w:tc>
          <w:tcPr>
            <w:tcW w:w="806" w:type="pct"/>
          </w:tcPr>
          <w:p w14:paraId="77506EC1">
            <w:pPr>
              <w:spacing w:line="460" w:lineRule="exact"/>
              <w:rPr>
                <w:sz w:val="24"/>
              </w:rPr>
            </w:pPr>
          </w:p>
        </w:tc>
        <w:tc>
          <w:tcPr>
            <w:tcW w:w="1202" w:type="pct"/>
          </w:tcPr>
          <w:p w14:paraId="2E8069AB">
            <w:pPr>
              <w:spacing w:line="460" w:lineRule="exact"/>
              <w:rPr>
                <w:sz w:val="24"/>
              </w:rPr>
            </w:pPr>
          </w:p>
        </w:tc>
        <w:tc>
          <w:tcPr>
            <w:tcW w:w="984" w:type="pct"/>
          </w:tcPr>
          <w:p w14:paraId="3595E396">
            <w:pPr>
              <w:spacing w:line="460" w:lineRule="exact"/>
              <w:rPr>
                <w:sz w:val="24"/>
              </w:rPr>
            </w:pPr>
          </w:p>
        </w:tc>
      </w:tr>
      <w:tr w14:paraId="4324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1A16F44">
            <w:pPr>
              <w:spacing w:line="460" w:lineRule="exact"/>
              <w:rPr>
                <w:sz w:val="24"/>
              </w:rPr>
            </w:pPr>
          </w:p>
        </w:tc>
        <w:tc>
          <w:tcPr>
            <w:tcW w:w="1278" w:type="pct"/>
          </w:tcPr>
          <w:p w14:paraId="2AF2D074">
            <w:pPr>
              <w:spacing w:line="460" w:lineRule="exact"/>
              <w:rPr>
                <w:sz w:val="24"/>
              </w:rPr>
            </w:pPr>
          </w:p>
        </w:tc>
        <w:tc>
          <w:tcPr>
            <w:tcW w:w="806" w:type="pct"/>
          </w:tcPr>
          <w:p w14:paraId="66AB8E70">
            <w:pPr>
              <w:spacing w:line="460" w:lineRule="exact"/>
              <w:rPr>
                <w:sz w:val="24"/>
              </w:rPr>
            </w:pPr>
          </w:p>
        </w:tc>
        <w:tc>
          <w:tcPr>
            <w:tcW w:w="1202" w:type="pct"/>
          </w:tcPr>
          <w:p w14:paraId="4FF50065">
            <w:pPr>
              <w:spacing w:line="460" w:lineRule="exact"/>
              <w:rPr>
                <w:sz w:val="24"/>
              </w:rPr>
            </w:pPr>
          </w:p>
        </w:tc>
        <w:tc>
          <w:tcPr>
            <w:tcW w:w="984" w:type="pct"/>
          </w:tcPr>
          <w:p w14:paraId="555DD97C">
            <w:pPr>
              <w:spacing w:line="460" w:lineRule="exact"/>
              <w:rPr>
                <w:sz w:val="24"/>
              </w:rPr>
            </w:pPr>
          </w:p>
        </w:tc>
      </w:tr>
      <w:tr w14:paraId="2EED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FDA8AE7">
            <w:pPr>
              <w:spacing w:line="460" w:lineRule="exact"/>
              <w:rPr>
                <w:sz w:val="24"/>
              </w:rPr>
            </w:pPr>
          </w:p>
        </w:tc>
        <w:tc>
          <w:tcPr>
            <w:tcW w:w="1278" w:type="pct"/>
          </w:tcPr>
          <w:p w14:paraId="735B8E0E">
            <w:pPr>
              <w:spacing w:line="460" w:lineRule="exact"/>
              <w:rPr>
                <w:sz w:val="24"/>
              </w:rPr>
            </w:pPr>
          </w:p>
        </w:tc>
        <w:tc>
          <w:tcPr>
            <w:tcW w:w="806" w:type="pct"/>
          </w:tcPr>
          <w:p w14:paraId="08AE68D3">
            <w:pPr>
              <w:spacing w:line="460" w:lineRule="exact"/>
              <w:rPr>
                <w:sz w:val="24"/>
              </w:rPr>
            </w:pPr>
          </w:p>
        </w:tc>
        <w:tc>
          <w:tcPr>
            <w:tcW w:w="1202" w:type="pct"/>
          </w:tcPr>
          <w:p w14:paraId="4909F959">
            <w:pPr>
              <w:spacing w:line="460" w:lineRule="exact"/>
              <w:rPr>
                <w:sz w:val="24"/>
              </w:rPr>
            </w:pPr>
          </w:p>
        </w:tc>
        <w:tc>
          <w:tcPr>
            <w:tcW w:w="984" w:type="pct"/>
          </w:tcPr>
          <w:p w14:paraId="4AA21F74">
            <w:pPr>
              <w:spacing w:line="460" w:lineRule="exact"/>
              <w:rPr>
                <w:sz w:val="24"/>
              </w:rPr>
            </w:pPr>
          </w:p>
        </w:tc>
      </w:tr>
      <w:tr w14:paraId="110D1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A53F896">
            <w:pPr>
              <w:spacing w:line="460" w:lineRule="exact"/>
              <w:rPr>
                <w:sz w:val="24"/>
              </w:rPr>
            </w:pPr>
          </w:p>
        </w:tc>
        <w:tc>
          <w:tcPr>
            <w:tcW w:w="1278" w:type="pct"/>
          </w:tcPr>
          <w:p w14:paraId="232BDA24">
            <w:pPr>
              <w:spacing w:line="460" w:lineRule="exact"/>
              <w:rPr>
                <w:sz w:val="24"/>
              </w:rPr>
            </w:pPr>
          </w:p>
        </w:tc>
        <w:tc>
          <w:tcPr>
            <w:tcW w:w="806" w:type="pct"/>
          </w:tcPr>
          <w:p w14:paraId="354699C1">
            <w:pPr>
              <w:spacing w:line="460" w:lineRule="exact"/>
              <w:rPr>
                <w:sz w:val="24"/>
              </w:rPr>
            </w:pPr>
          </w:p>
        </w:tc>
        <w:tc>
          <w:tcPr>
            <w:tcW w:w="1202" w:type="pct"/>
          </w:tcPr>
          <w:p w14:paraId="44A0465D">
            <w:pPr>
              <w:spacing w:line="460" w:lineRule="exact"/>
              <w:rPr>
                <w:sz w:val="24"/>
              </w:rPr>
            </w:pPr>
          </w:p>
        </w:tc>
        <w:tc>
          <w:tcPr>
            <w:tcW w:w="984" w:type="pct"/>
          </w:tcPr>
          <w:p w14:paraId="40B4F00D">
            <w:pPr>
              <w:spacing w:line="460" w:lineRule="exact"/>
              <w:rPr>
                <w:sz w:val="24"/>
              </w:rPr>
            </w:pPr>
          </w:p>
        </w:tc>
      </w:tr>
      <w:tr w14:paraId="2560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AF00A6E">
            <w:pPr>
              <w:spacing w:line="460" w:lineRule="exact"/>
              <w:rPr>
                <w:sz w:val="24"/>
              </w:rPr>
            </w:pPr>
          </w:p>
        </w:tc>
        <w:tc>
          <w:tcPr>
            <w:tcW w:w="1278" w:type="pct"/>
          </w:tcPr>
          <w:p w14:paraId="132AB95B">
            <w:pPr>
              <w:spacing w:line="460" w:lineRule="exact"/>
              <w:rPr>
                <w:sz w:val="24"/>
              </w:rPr>
            </w:pPr>
          </w:p>
        </w:tc>
        <w:tc>
          <w:tcPr>
            <w:tcW w:w="806" w:type="pct"/>
          </w:tcPr>
          <w:p w14:paraId="4CD72B8E">
            <w:pPr>
              <w:spacing w:line="460" w:lineRule="exact"/>
              <w:rPr>
                <w:sz w:val="24"/>
              </w:rPr>
            </w:pPr>
          </w:p>
        </w:tc>
        <w:tc>
          <w:tcPr>
            <w:tcW w:w="1202" w:type="pct"/>
          </w:tcPr>
          <w:p w14:paraId="3E7BA645">
            <w:pPr>
              <w:spacing w:line="460" w:lineRule="exact"/>
              <w:rPr>
                <w:sz w:val="24"/>
              </w:rPr>
            </w:pPr>
          </w:p>
        </w:tc>
        <w:tc>
          <w:tcPr>
            <w:tcW w:w="984" w:type="pct"/>
          </w:tcPr>
          <w:p w14:paraId="7EC87A86">
            <w:pPr>
              <w:spacing w:line="460" w:lineRule="exact"/>
              <w:rPr>
                <w:sz w:val="24"/>
              </w:rPr>
            </w:pPr>
          </w:p>
        </w:tc>
      </w:tr>
    </w:tbl>
    <w:p w14:paraId="57257095">
      <w:pPr>
        <w:spacing w:line="360" w:lineRule="auto"/>
        <w:ind w:right="84" w:firstLine="420"/>
        <w:rPr>
          <w:b/>
          <w:position w:val="-40"/>
          <w:sz w:val="24"/>
        </w:rPr>
      </w:pPr>
    </w:p>
    <w:p w14:paraId="52194362">
      <w:pPr>
        <w:spacing w:line="460" w:lineRule="exact"/>
        <w:ind w:left="192"/>
        <w:rPr>
          <w:sz w:val="24"/>
        </w:rPr>
      </w:pPr>
    </w:p>
    <w:p w14:paraId="146A60F1">
      <w:pPr>
        <w:spacing w:line="360" w:lineRule="auto"/>
        <w:ind w:right="84" w:firstLine="224" w:firstLineChars="100"/>
        <w:rPr>
          <w:sz w:val="24"/>
        </w:rPr>
      </w:pPr>
      <w:r>
        <w:rPr>
          <w:rFonts w:hAnsiTheme="minorEastAsia"/>
          <w:sz w:val="24"/>
        </w:rPr>
        <w:t>投标人名称：</w:t>
      </w:r>
    </w:p>
    <w:p w14:paraId="17E53BAD">
      <w:pPr>
        <w:spacing w:line="360" w:lineRule="auto"/>
        <w:ind w:right="84" w:firstLine="224" w:firstLineChars="100"/>
        <w:rPr>
          <w:sz w:val="24"/>
        </w:rPr>
      </w:pPr>
    </w:p>
    <w:p w14:paraId="71160F82">
      <w:pPr>
        <w:spacing w:line="360" w:lineRule="auto"/>
        <w:ind w:right="84" w:firstLine="224" w:firstLineChars="100"/>
        <w:rPr>
          <w:position w:val="-40"/>
          <w:sz w:val="24"/>
        </w:rPr>
      </w:pPr>
      <w:r>
        <w:rPr>
          <w:rFonts w:hAnsiTheme="minorEastAsia"/>
          <w:sz w:val="24"/>
        </w:rPr>
        <w:t>日期：</w:t>
      </w:r>
    </w:p>
    <w:p w14:paraId="00916D91">
      <w:pPr>
        <w:spacing w:line="360" w:lineRule="auto"/>
        <w:ind w:right="84" w:firstLine="420"/>
        <w:rPr>
          <w:position w:val="-40"/>
          <w:sz w:val="24"/>
        </w:rPr>
      </w:pPr>
    </w:p>
    <w:p w14:paraId="5D686922">
      <w:pPr>
        <w:spacing w:line="360" w:lineRule="auto"/>
        <w:ind w:right="84" w:firstLine="420"/>
        <w:rPr>
          <w:position w:val="-40"/>
          <w:sz w:val="24"/>
        </w:rPr>
      </w:pPr>
    </w:p>
    <w:p w14:paraId="32BA3083">
      <w:pPr>
        <w:spacing w:line="360" w:lineRule="auto"/>
        <w:ind w:right="84" w:firstLine="420"/>
        <w:rPr>
          <w:position w:val="-40"/>
          <w:sz w:val="24"/>
        </w:rPr>
      </w:pPr>
    </w:p>
    <w:p w14:paraId="2F1B92CB">
      <w:pPr>
        <w:spacing w:line="360" w:lineRule="auto"/>
        <w:ind w:right="84" w:firstLine="420"/>
        <w:rPr>
          <w:position w:val="-40"/>
          <w:sz w:val="24"/>
        </w:rPr>
      </w:pPr>
    </w:p>
    <w:p w14:paraId="01ACB0A7">
      <w:pPr>
        <w:widowControl/>
        <w:jc w:val="left"/>
        <w:rPr>
          <w:b/>
          <w:sz w:val="24"/>
        </w:rPr>
      </w:pPr>
      <w:r>
        <w:rPr>
          <w:b/>
          <w:sz w:val="24"/>
        </w:rPr>
        <w:br w:type="page"/>
      </w:r>
    </w:p>
    <w:p w14:paraId="2045B135">
      <w:pPr>
        <w:spacing w:line="460" w:lineRule="exact"/>
        <w:rPr>
          <w:b/>
          <w:sz w:val="24"/>
        </w:rPr>
      </w:pPr>
      <w:r>
        <w:rPr>
          <w:b/>
          <w:sz w:val="24"/>
        </w:rPr>
        <w:t>附件3</w:t>
      </w:r>
    </w:p>
    <w:p w14:paraId="57F257D4">
      <w:pPr>
        <w:tabs>
          <w:tab w:val="left" w:pos="3780"/>
          <w:tab w:val="left" w:pos="3960"/>
        </w:tabs>
        <w:spacing w:line="460" w:lineRule="exact"/>
        <w:jc w:val="center"/>
        <w:rPr>
          <w:b/>
          <w:sz w:val="24"/>
        </w:rPr>
      </w:pPr>
      <w:r>
        <w:rPr>
          <w:b/>
          <w:sz w:val="24"/>
        </w:rPr>
        <w:t>开标分项一览表</w:t>
      </w:r>
    </w:p>
    <w:p w14:paraId="494DD234">
      <w:pPr>
        <w:spacing w:line="460" w:lineRule="exact"/>
        <w:ind w:left="192"/>
        <w:rPr>
          <w:sz w:val="24"/>
        </w:rPr>
      </w:pPr>
      <w:r>
        <w:rPr>
          <w:sz w:val="24"/>
        </w:rPr>
        <w:t>项目名称：</w:t>
      </w:r>
    </w:p>
    <w:p w14:paraId="3784C952">
      <w:pPr>
        <w:spacing w:line="460" w:lineRule="exact"/>
        <w:ind w:left="192"/>
        <w:rPr>
          <w:sz w:val="24"/>
        </w:rPr>
      </w:pPr>
      <w:r>
        <w:rPr>
          <w:sz w:val="24"/>
        </w:rPr>
        <w:t>项目编号：</w:t>
      </w:r>
    </w:p>
    <w:p w14:paraId="19204F31">
      <w:pPr>
        <w:spacing w:line="460" w:lineRule="exact"/>
        <w:ind w:left="192"/>
        <w:rPr>
          <w:sz w:val="24"/>
        </w:rPr>
      </w:pPr>
      <w:r>
        <w:rPr>
          <w:sz w:val="24"/>
        </w:rPr>
        <w:t>包号：</w:t>
      </w:r>
    </w:p>
    <w:p w14:paraId="5C747A98">
      <w:pPr>
        <w:spacing w:line="460" w:lineRule="exact"/>
        <w:ind w:firstLine="6496" w:firstLineChars="2900"/>
        <w:rPr>
          <w:sz w:val="24"/>
        </w:rPr>
      </w:pPr>
      <w:r>
        <w:rPr>
          <w:sz w:val="24"/>
        </w:rPr>
        <w:t>单位：元</w:t>
      </w:r>
    </w:p>
    <w:tbl>
      <w:tblPr>
        <w:tblStyle w:val="20"/>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3395"/>
        <w:gridCol w:w="3551"/>
      </w:tblGrid>
      <w:tr w14:paraId="6DB4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6A11EB7C">
            <w:pPr>
              <w:jc w:val="center"/>
              <w:rPr>
                <w:szCs w:val="21"/>
              </w:rPr>
            </w:pPr>
            <w:r>
              <w:rPr>
                <w:szCs w:val="21"/>
              </w:rPr>
              <w:t>序号</w:t>
            </w:r>
          </w:p>
        </w:tc>
        <w:tc>
          <w:tcPr>
            <w:tcW w:w="2121" w:type="pct"/>
            <w:vAlign w:val="center"/>
          </w:tcPr>
          <w:p w14:paraId="3287B27C">
            <w:pPr>
              <w:jc w:val="center"/>
              <w:rPr>
                <w:szCs w:val="21"/>
              </w:rPr>
            </w:pPr>
            <w:r>
              <w:rPr>
                <w:szCs w:val="21"/>
              </w:rPr>
              <w:t>价格分项组成</w:t>
            </w:r>
          </w:p>
        </w:tc>
        <w:tc>
          <w:tcPr>
            <w:tcW w:w="2218" w:type="pct"/>
            <w:vAlign w:val="center"/>
          </w:tcPr>
          <w:p w14:paraId="0673531E">
            <w:pPr>
              <w:jc w:val="center"/>
              <w:rPr>
                <w:szCs w:val="21"/>
              </w:rPr>
            </w:pPr>
            <w:r>
              <w:rPr>
                <w:szCs w:val="21"/>
              </w:rPr>
              <w:t>报价</w:t>
            </w:r>
          </w:p>
        </w:tc>
      </w:tr>
      <w:tr w14:paraId="222C9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restart"/>
            <w:vAlign w:val="center"/>
          </w:tcPr>
          <w:p w14:paraId="1BF85837">
            <w:pPr>
              <w:jc w:val="center"/>
              <w:rPr>
                <w:szCs w:val="21"/>
              </w:rPr>
            </w:pPr>
            <w:r>
              <w:rPr>
                <w:szCs w:val="21"/>
              </w:rPr>
              <w:t>1</w:t>
            </w:r>
          </w:p>
        </w:tc>
        <w:tc>
          <w:tcPr>
            <w:tcW w:w="2121" w:type="pct"/>
            <w:vMerge w:val="restart"/>
            <w:vAlign w:val="center"/>
          </w:tcPr>
          <w:p w14:paraId="19BD03E1">
            <w:pPr>
              <w:jc w:val="center"/>
              <w:rPr>
                <w:szCs w:val="21"/>
              </w:rPr>
            </w:pPr>
            <w:r>
              <w:rPr>
                <w:szCs w:val="21"/>
              </w:rPr>
              <w:t>人员费用</w:t>
            </w:r>
          </w:p>
        </w:tc>
        <w:tc>
          <w:tcPr>
            <w:tcW w:w="2218" w:type="pct"/>
            <w:vAlign w:val="center"/>
          </w:tcPr>
          <w:p w14:paraId="2497ECF6">
            <w:pPr>
              <w:jc w:val="left"/>
              <w:rPr>
                <w:szCs w:val="21"/>
              </w:rPr>
            </w:pPr>
            <w:r>
              <w:rPr>
                <w:szCs w:val="21"/>
              </w:rPr>
              <w:t>人员工资：</w:t>
            </w:r>
          </w:p>
        </w:tc>
      </w:tr>
      <w:tr w14:paraId="7A52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64C9A5CE">
            <w:pPr>
              <w:jc w:val="center"/>
              <w:rPr>
                <w:szCs w:val="21"/>
              </w:rPr>
            </w:pPr>
          </w:p>
        </w:tc>
        <w:tc>
          <w:tcPr>
            <w:tcW w:w="2121" w:type="pct"/>
            <w:vMerge w:val="continue"/>
            <w:vAlign w:val="center"/>
          </w:tcPr>
          <w:p w14:paraId="3D75084F">
            <w:pPr>
              <w:jc w:val="center"/>
              <w:rPr>
                <w:szCs w:val="21"/>
              </w:rPr>
            </w:pPr>
          </w:p>
        </w:tc>
        <w:tc>
          <w:tcPr>
            <w:tcW w:w="2218" w:type="pct"/>
            <w:vAlign w:val="center"/>
          </w:tcPr>
          <w:p w14:paraId="19EFC933">
            <w:pPr>
              <w:jc w:val="left"/>
              <w:rPr>
                <w:szCs w:val="21"/>
              </w:rPr>
            </w:pPr>
            <w:r>
              <w:rPr>
                <w:rFonts w:hint="eastAsia"/>
                <w:szCs w:val="21"/>
              </w:rPr>
              <w:t>社会保险：</w:t>
            </w:r>
          </w:p>
        </w:tc>
      </w:tr>
      <w:tr w14:paraId="5794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32B6A905">
            <w:pPr>
              <w:jc w:val="center"/>
              <w:rPr>
                <w:szCs w:val="21"/>
              </w:rPr>
            </w:pPr>
          </w:p>
        </w:tc>
        <w:tc>
          <w:tcPr>
            <w:tcW w:w="2121" w:type="pct"/>
            <w:vMerge w:val="continue"/>
            <w:vAlign w:val="center"/>
          </w:tcPr>
          <w:p w14:paraId="4BD9A7E8">
            <w:pPr>
              <w:jc w:val="center"/>
              <w:rPr>
                <w:szCs w:val="21"/>
              </w:rPr>
            </w:pPr>
          </w:p>
        </w:tc>
        <w:tc>
          <w:tcPr>
            <w:tcW w:w="2218" w:type="pct"/>
            <w:vAlign w:val="center"/>
          </w:tcPr>
          <w:p w14:paraId="7CAA4A41">
            <w:pPr>
              <w:jc w:val="left"/>
              <w:rPr>
                <w:szCs w:val="21"/>
              </w:rPr>
            </w:pPr>
            <w:r>
              <w:rPr>
                <w:rFonts w:hint="eastAsia"/>
                <w:szCs w:val="21"/>
              </w:rPr>
              <w:t>住房公积金：</w:t>
            </w:r>
          </w:p>
        </w:tc>
      </w:tr>
      <w:tr w14:paraId="1810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0E8B748F">
            <w:pPr>
              <w:jc w:val="center"/>
              <w:rPr>
                <w:szCs w:val="21"/>
              </w:rPr>
            </w:pPr>
          </w:p>
        </w:tc>
        <w:tc>
          <w:tcPr>
            <w:tcW w:w="2121" w:type="pct"/>
            <w:vMerge w:val="continue"/>
            <w:vAlign w:val="center"/>
          </w:tcPr>
          <w:p w14:paraId="4C188A3C">
            <w:pPr>
              <w:jc w:val="center"/>
              <w:rPr>
                <w:szCs w:val="21"/>
              </w:rPr>
            </w:pPr>
          </w:p>
        </w:tc>
        <w:tc>
          <w:tcPr>
            <w:tcW w:w="2218" w:type="pct"/>
            <w:vAlign w:val="center"/>
          </w:tcPr>
          <w:p w14:paraId="3466DC66">
            <w:pPr>
              <w:jc w:val="left"/>
              <w:rPr>
                <w:szCs w:val="21"/>
              </w:rPr>
            </w:pPr>
            <w:r>
              <w:rPr>
                <w:szCs w:val="21"/>
              </w:rPr>
              <w:t>福利</w:t>
            </w:r>
            <w:r>
              <w:rPr>
                <w:rFonts w:hint="eastAsia"/>
                <w:szCs w:val="21"/>
              </w:rPr>
              <w:t>费</w:t>
            </w:r>
            <w:r>
              <w:rPr>
                <w:szCs w:val="21"/>
              </w:rPr>
              <w:t>：</w:t>
            </w:r>
          </w:p>
        </w:tc>
      </w:tr>
      <w:tr w14:paraId="0B41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20DDCA47">
            <w:pPr>
              <w:jc w:val="center"/>
              <w:rPr>
                <w:szCs w:val="21"/>
              </w:rPr>
            </w:pPr>
          </w:p>
        </w:tc>
        <w:tc>
          <w:tcPr>
            <w:tcW w:w="2121" w:type="pct"/>
            <w:vMerge w:val="continue"/>
            <w:vAlign w:val="center"/>
          </w:tcPr>
          <w:p w14:paraId="490FDEED">
            <w:pPr>
              <w:jc w:val="center"/>
              <w:rPr>
                <w:szCs w:val="21"/>
              </w:rPr>
            </w:pPr>
          </w:p>
        </w:tc>
        <w:tc>
          <w:tcPr>
            <w:tcW w:w="2218" w:type="pct"/>
            <w:vAlign w:val="center"/>
          </w:tcPr>
          <w:p w14:paraId="5A5FAE14">
            <w:pPr>
              <w:jc w:val="left"/>
              <w:rPr>
                <w:szCs w:val="21"/>
              </w:rPr>
            </w:pPr>
            <w:r>
              <w:rPr>
                <w:rFonts w:hint="eastAsia"/>
                <w:szCs w:val="21"/>
              </w:rPr>
              <w:t>加班费</w:t>
            </w:r>
            <w:r>
              <w:rPr>
                <w:szCs w:val="21"/>
              </w:rPr>
              <w:t>：</w:t>
            </w:r>
          </w:p>
        </w:tc>
      </w:tr>
      <w:tr w14:paraId="7F43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6A1C5E54">
            <w:pPr>
              <w:jc w:val="center"/>
              <w:rPr>
                <w:szCs w:val="21"/>
              </w:rPr>
            </w:pPr>
          </w:p>
        </w:tc>
        <w:tc>
          <w:tcPr>
            <w:tcW w:w="2121" w:type="pct"/>
            <w:vMerge w:val="continue"/>
            <w:vAlign w:val="center"/>
          </w:tcPr>
          <w:p w14:paraId="6BE51CBA">
            <w:pPr>
              <w:jc w:val="center"/>
              <w:rPr>
                <w:szCs w:val="21"/>
              </w:rPr>
            </w:pPr>
          </w:p>
        </w:tc>
        <w:tc>
          <w:tcPr>
            <w:tcW w:w="2218" w:type="pct"/>
            <w:vAlign w:val="center"/>
          </w:tcPr>
          <w:p w14:paraId="057D4908">
            <w:pPr>
              <w:jc w:val="left"/>
              <w:rPr>
                <w:szCs w:val="21"/>
              </w:rPr>
            </w:pPr>
            <w:r>
              <w:rPr>
                <w:rFonts w:hint="eastAsia"/>
                <w:szCs w:val="21"/>
              </w:rPr>
              <w:t>其他：</w:t>
            </w:r>
          </w:p>
        </w:tc>
      </w:tr>
      <w:tr w14:paraId="6A1A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1" w:type="pct"/>
            <w:vAlign w:val="center"/>
          </w:tcPr>
          <w:p w14:paraId="5EBEF832">
            <w:pPr>
              <w:jc w:val="center"/>
              <w:rPr>
                <w:szCs w:val="21"/>
              </w:rPr>
            </w:pPr>
            <w:r>
              <w:rPr>
                <w:szCs w:val="21"/>
              </w:rPr>
              <w:t>2</w:t>
            </w:r>
          </w:p>
        </w:tc>
        <w:tc>
          <w:tcPr>
            <w:tcW w:w="2121" w:type="pct"/>
            <w:vAlign w:val="center"/>
          </w:tcPr>
          <w:p w14:paraId="1A4A37BA">
            <w:pPr>
              <w:jc w:val="center"/>
              <w:rPr>
                <w:szCs w:val="21"/>
              </w:rPr>
            </w:pPr>
            <w:r>
              <w:rPr>
                <w:szCs w:val="21"/>
              </w:rPr>
              <w:t>日常运行维护工具耗材费用</w:t>
            </w:r>
          </w:p>
        </w:tc>
        <w:tc>
          <w:tcPr>
            <w:tcW w:w="2218" w:type="pct"/>
            <w:vAlign w:val="center"/>
          </w:tcPr>
          <w:p w14:paraId="4C9C6E89">
            <w:pPr>
              <w:jc w:val="left"/>
              <w:rPr>
                <w:szCs w:val="21"/>
              </w:rPr>
            </w:pPr>
          </w:p>
        </w:tc>
      </w:tr>
      <w:tr w14:paraId="07B6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5FFE4EA6">
            <w:pPr>
              <w:jc w:val="center"/>
              <w:rPr>
                <w:szCs w:val="21"/>
              </w:rPr>
            </w:pPr>
            <w:r>
              <w:rPr>
                <w:szCs w:val="21"/>
              </w:rPr>
              <w:t>3</w:t>
            </w:r>
          </w:p>
        </w:tc>
        <w:tc>
          <w:tcPr>
            <w:tcW w:w="2121" w:type="pct"/>
            <w:vAlign w:val="center"/>
          </w:tcPr>
          <w:p w14:paraId="0C26C753">
            <w:pPr>
              <w:jc w:val="center"/>
              <w:rPr>
                <w:szCs w:val="21"/>
              </w:rPr>
            </w:pPr>
            <w:r>
              <w:rPr>
                <w:rFonts w:hint="eastAsia"/>
                <w:szCs w:val="21"/>
              </w:rPr>
              <w:t>保洁</w:t>
            </w:r>
            <w:r>
              <w:rPr>
                <w:szCs w:val="21"/>
              </w:rPr>
              <w:t>工具耗材费用</w:t>
            </w:r>
          </w:p>
        </w:tc>
        <w:tc>
          <w:tcPr>
            <w:tcW w:w="2218" w:type="pct"/>
            <w:vAlign w:val="center"/>
          </w:tcPr>
          <w:p w14:paraId="0E4C9EBE">
            <w:pPr>
              <w:jc w:val="left"/>
              <w:rPr>
                <w:szCs w:val="21"/>
              </w:rPr>
            </w:pPr>
          </w:p>
        </w:tc>
      </w:tr>
      <w:tr w14:paraId="1906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7A26413B">
            <w:pPr>
              <w:jc w:val="center"/>
              <w:rPr>
                <w:szCs w:val="21"/>
              </w:rPr>
            </w:pPr>
            <w:r>
              <w:rPr>
                <w:szCs w:val="21"/>
              </w:rPr>
              <w:t>4</w:t>
            </w:r>
          </w:p>
        </w:tc>
        <w:tc>
          <w:tcPr>
            <w:tcW w:w="2121" w:type="pct"/>
            <w:vAlign w:val="center"/>
          </w:tcPr>
          <w:p w14:paraId="208A457D">
            <w:pPr>
              <w:jc w:val="center"/>
              <w:rPr>
                <w:szCs w:val="21"/>
              </w:rPr>
            </w:pPr>
            <w:r>
              <w:rPr>
                <w:szCs w:val="21"/>
              </w:rPr>
              <w:t>秩序维护</w:t>
            </w:r>
            <w:r>
              <w:rPr>
                <w:rFonts w:hint="eastAsia"/>
                <w:szCs w:val="21"/>
              </w:rPr>
              <w:t>工具耗材</w:t>
            </w:r>
            <w:r>
              <w:rPr>
                <w:szCs w:val="21"/>
              </w:rPr>
              <w:t>费用</w:t>
            </w:r>
          </w:p>
        </w:tc>
        <w:tc>
          <w:tcPr>
            <w:tcW w:w="2218" w:type="pct"/>
            <w:vAlign w:val="center"/>
          </w:tcPr>
          <w:p w14:paraId="5440B1FB">
            <w:pPr>
              <w:jc w:val="left"/>
              <w:rPr>
                <w:szCs w:val="21"/>
              </w:rPr>
            </w:pPr>
          </w:p>
        </w:tc>
      </w:tr>
      <w:tr w14:paraId="31A7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4D6B52D0">
            <w:pPr>
              <w:jc w:val="center"/>
              <w:rPr>
                <w:szCs w:val="21"/>
              </w:rPr>
            </w:pPr>
            <w:r>
              <w:rPr>
                <w:szCs w:val="21"/>
              </w:rPr>
              <w:t>5</w:t>
            </w:r>
          </w:p>
        </w:tc>
        <w:tc>
          <w:tcPr>
            <w:tcW w:w="2121" w:type="pct"/>
            <w:vAlign w:val="center"/>
          </w:tcPr>
          <w:p w14:paraId="3956C7BF">
            <w:pPr>
              <w:jc w:val="center"/>
              <w:rPr>
                <w:szCs w:val="21"/>
              </w:rPr>
            </w:pPr>
            <w:r>
              <w:rPr>
                <w:szCs w:val="21"/>
              </w:rPr>
              <w:t>绿化养护费用</w:t>
            </w:r>
          </w:p>
        </w:tc>
        <w:tc>
          <w:tcPr>
            <w:tcW w:w="2218" w:type="pct"/>
            <w:vAlign w:val="center"/>
          </w:tcPr>
          <w:p w14:paraId="4405F716">
            <w:pPr>
              <w:jc w:val="left"/>
              <w:rPr>
                <w:szCs w:val="21"/>
              </w:rPr>
            </w:pPr>
          </w:p>
        </w:tc>
      </w:tr>
      <w:tr w14:paraId="66D6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337847BA">
            <w:pPr>
              <w:jc w:val="center"/>
              <w:rPr>
                <w:szCs w:val="21"/>
              </w:rPr>
            </w:pPr>
            <w:r>
              <w:rPr>
                <w:rFonts w:hint="eastAsia"/>
                <w:szCs w:val="21"/>
              </w:rPr>
              <w:t>6</w:t>
            </w:r>
          </w:p>
        </w:tc>
        <w:tc>
          <w:tcPr>
            <w:tcW w:w="2121" w:type="pct"/>
            <w:vAlign w:val="center"/>
          </w:tcPr>
          <w:p w14:paraId="1E1C69FF">
            <w:pPr>
              <w:jc w:val="center"/>
              <w:rPr>
                <w:szCs w:val="21"/>
              </w:rPr>
            </w:pPr>
            <w:r>
              <w:rPr>
                <w:rFonts w:hint="eastAsia"/>
                <w:szCs w:val="21"/>
              </w:rPr>
              <w:t>餐费</w:t>
            </w:r>
          </w:p>
        </w:tc>
        <w:tc>
          <w:tcPr>
            <w:tcW w:w="2218" w:type="pct"/>
            <w:vAlign w:val="center"/>
          </w:tcPr>
          <w:p w14:paraId="680207B3">
            <w:pPr>
              <w:jc w:val="left"/>
              <w:rPr>
                <w:szCs w:val="21"/>
              </w:rPr>
            </w:pPr>
          </w:p>
        </w:tc>
      </w:tr>
      <w:tr w14:paraId="74D6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5B65B244">
            <w:pPr>
              <w:jc w:val="center"/>
              <w:rPr>
                <w:szCs w:val="21"/>
              </w:rPr>
            </w:pPr>
            <w:r>
              <w:rPr>
                <w:rFonts w:hint="eastAsia"/>
                <w:szCs w:val="21"/>
              </w:rPr>
              <w:t>7</w:t>
            </w:r>
          </w:p>
        </w:tc>
        <w:tc>
          <w:tcPr>
            <w:tcW w:w="2121" w:type="pct"/>
            <w:vAlign w:val="center"/>
          </w:tcPr>
          <w:p w14:paraId="6D9BA87C">
            <w:pPr>
              <w:jc w:val="center"/>
              <w:rPr>
                <w:szCs w:val="21"/>
              </w:rPr>
            </w:pPr>
            <w:r>
              <w:rPr>
                <w:rFonts w:hint="eastAsia"/>
                <w:szCs w:val="21"/>
              </w:rPr>
              <w:t>服装费用</w:t>
            </w:r>
          </w:p>
        </w:tc>
        <w:tc>
          <w:tcPr>
            <w:tcW w:w="2218" w:type="pct"/>
            <w:vAlign w:val="center"/>
          </w:tcPr>
          <w:p w14:paraId="6FF4D5A3">
            <w:pPr>
              <w:jc w:val="left"/>
              <w:rPr>
                <w:szCs w:val="21"/>
              </w:rPr>
            </w:pPr>
          </w:p>
        </w:tc>
      </w:tr>
      <w:tr w14:paraId="18CB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71289940">
            <w:pPr>
              <w:jc w:val="center"/>
              <w:rPr>
                <w:szCs w:val="21"/>
              </w:rPr>
            </w:pPr>
            <w:r>
              <w:rPr>
                <w:rFonts w:hint="eastAsia"/>
                <w:szCs w:val="21"/>
              </w:rPr>
              <w:t>8</w:t>
            </w:r>
          </w:p>
        </w:tc>
        <w:tc>
          <w:tcPr>
            <w:tcW w:w="2121" w:type="pct"/>
            <w:vAlign w:val="center"/>
          </w:tcPr>
          <w:p w14:paraId="21839AC2">
            <w:pPr>
              <w:jc w:val="center"/>
              <w:rPr>
                <w:szCs w:val="21"/>
              </w:rPr>
            </w:pPr>
            <w:r>
              <w:rPr>
                <w:szCs w:val="21"/>
              </w:rPr>
              <w:t>办公费用</w:t>
            </w:r>
          </w:p>
        </w:tc>
        <w:tc>
          <w:tcPr>
            <w:tcW w:w="2218" w:type="pct"/>
            <w:vAlign w:val="center"/>
          </w:tcPr>
          <w:p w14:paraId="0ED22BDA">
            <w:pPr>
              <w:jc w:val="left"/>
              <w:rPr>
                <w:szCs w:val="21"/>
              </w:rPr>
            </w:pPr>
          </w:p>
        </w:tc>
      </w:tr>
      <w:tr w14:paraId="52FF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48A3F5F7">
            <w:pPr>
              <w:jc w:val="center"/>
              <w:rPr>
                <w:szCs w:val="21"/>
              </w:rPr>
            </w:pPr>
            <w:r>
              <w:rPr>
                <w:rFonts w:hint="eastAsia"/>
                <w:szCs w:val="21"/>
              </w:rPr>
              <w:t>9</w:t>
            </w:r>
          </w:p>
        </w:tc>
        <w:tc>
          <w:tcPr>
            <w:tcW w:w="2121" w:type="pct"/>
            <w:vAlign w:val="center"/>
          </w:tcPr>
          <w:p w14:paraId="380BF115">
            <w:pPr>
              <w:jc w:val="center"/>
              <w:rPr>
                <w:szCs w:val="21"/>
              </w:rPr>
            </w:pPr>
            <w:r>
              <w:rPr>
                <w:szCs w:val="21"/>
              </w:rPr>
              <w:t>固定资产折旧</w:t>
            </w:r>
          </w:p>
        </w:tc>
        <w:tc>
          <w:tcPr>
            <w:tcW w:w="2218" w:type="pct"/>
            <w:vAlign w:val="center"/>
          </w:tcPr>
          <w:p w14:paraId="019DD493">
            <w:pPr>
              <w:jc w:val="left"/>
              <w:rPr>
                <w:szCs w:val="21"/>
              </w:rPr>
            </w:pPr>
          </w:p>
        </w:tc>
      </w:tr>
      <w:tr w14:paraId="6A99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303C3B04">
            <w:pPr>
              <w:jc w:val="center"/>
              <w:rPr>
                <w:szCs w:val="21"/>
              </w:rPr>
            </w:pPr>
            <w:r>
              <w:rPr>
                <w:rFonts w:hint="eastAsia"/>
                <w:szCs w:val="21"/>
              </w:rPr>
              <w:t>10</w:t>
            </w:r>
          </w:p>
        </w:tc>
        <w:tc>
          <w:tcPr>
            <w:tcW w:w="2121" w:type="pct"/>
            <w:vAlign w:val="center"/>
          </w:tcPr>
          <w:p w14:paraId="146E9E8F">
            <w:pPr>
              <w:jc w:val="center"/>
              <w:rPr>
                <w:szCs w:val="21"/>
              </w:rPr>
            </w:pPr>
            <w:r>
              <w:rPr>
                <w:szCs w:val="21"/>
              </w:rPr>
              <w:t>利润</w:t>
            </w:r>
          </w:p>
        </w:tc>
        <w:tc>
          <w:tcPr>
            <w:tcW w:w="2218" w:type="pct"/>
            <w:vAlign w:val="center"/>
          </w:tcPr>
          <w:p w14:paraId="4889D5AF">
            <w:pPr>
              <w:jc w:val="left"/>
              <w:rPr>
                <w:szCs w:val="21"/>
              </w:rPr>
            </w:pPr>
          </w:p>
        </w:tc>
      </w:tr>
      <w:tr w14:paraId="21BE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6FC08878">
            <w:pPr>
              <w:jc w:val="center"/>
              <w:rPr>
                <w:szCs w:val="21"/>
              </w:rPr>
            </w:pPr>
            <w:r>
              <w:rPr>
                <w:rFonts w:hint="eastAsia"/>
                <w:szCs w:val="21"/>
              </w:rPr>
              <w:t>11</w:t>
            </w:r>
          </w:p>
        </w:tc>
        <w:tc>
          <w:tcPr>
            <w:tcW w:w="2121" w:type="pct"/>
            <w:vAlign w:val="center"/>
          </w:tcPr>
          <w:p w14:paraId="43F56E67">
            <w:pPr>
              <w:jc w:val="center"/>
              <w:rPr>
                <w:szCs w:val="21"/>
              </w:rPr>
            </w:pPr>
            <w:r>
              <w:rPr>
                <w:szCs w:val="21"/>
              </w:rPr>
              <w:t>税金</w:t>
            </w:r>
          </w:p>
        </w:tc>
        <w:tc>
          <w:tcPr>
            <w:tcW w:w="2218" w:type="pct"/>
            <w:vAlign w:val="center"/>
          </w:tcPr>
          <w:p w14:paraId="6D97D337">
            <w:pPr>
              <w:jc w:val="left"/>
              <w:rPr>
                <w:szCs w:val="21"/>
              </w:rPr>
            </w:pPr>
          </w:p>
        </w:tc>
      </w:tr>
      <w:tr w14:paraId="7CBE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34C01C0D">
            <w:pPr>
              <w:jc w:val="center"/>
              <w:rPr>
                <w:szCs w:val="21"/>
              </w:rPr>
            </w:pPr>
            <w:r>
              <w:rPr>
                <w:rFonts w:hint="eastAsia"/>
                <w:szCs w:val="21"/>
              </w:rPr>
              <w:t>12</w:t>
            </w:r>
          </w:p>
        </w:tc>
        <w:tc>
          <w:tcPr>
            <w:tcW w:w="2121" w:type="pct"/>
            <w:vAlign w:val="center"/>
          </w:tcPr>
          <w:p w14:paraId="1335E873">
            <w:pPr>
              <w:jc w:val="center"/>
              <w:rPr>
                <w:szCs w:val="21"/>
              </w:rPr>
            </w:pPr>
            <w:r>
              <w:rPr>
                <w:szCs w:val="21"/>
              </w:rPr>
              <w:t>其他需要列明的费用</w:t>
            </w:r>
          </w:p>
        </w:tc>
        <w:tc>
          <w:tcPr>
            <w:tcW w:w="2218" w:type="pct"/>
            <w:vAlign w:val="center"/>
          </w:tcPr>
          <w:p w14:paraId="4991FE5A">
            <w:pPr>
              <w:jc w:val="left"/>
              <w:rPr>
                <w:szCs w:val="21"/>
              </w:rPr>
            </w:pPr>
          </w:p>
        </w:tc>
      </w:tr>
      <w:tr w14:paraId="1ED4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14:paraId="2D8D4CF8">
            <w:pPr>
              <w:jc w:val="center"/>
              <w:rPr>
                <w:szCs w:val="21"/>
              </w:rPr>
            </w:pPr>
            <w:r>
              <w:rPr>
                <w:szCs w:val="21"/>
              </w:rPr>
              <w:t>合计</w:t>
            </w:r>
          </w:p>
        </w:tc>
        <w:tc>
          <w:tcPr>
            <w:tcW w:w="2218" w:type="pct"/>
            <w:vAlign w:val="center"/>
          </w:tcPr>
          <w:p w14:paraId="12EF9D84">
            <w:pPr>
              <w:jc w:val="left"/>
              <w:rPr>
                <w:szCs w:val="21"/>
              </w:rPr>
            </w:pPr>
          </w:p>
        </w:tc>
      </w:tr>
    </w:tbl>
    <w:p w14:paraId="25755A7D">
      <w:pPr>
        <w:spacing w:line="360" w:lineRule="auto"/>
        <w:rPr>
          <w:kern w:val="0"/>
          <w:sz w:val="24"/>
          <w:szCs w:val="24"/>
        </w:rPr>
      </w:pPr>
      <w:r>
        <w:rPr>
          <w:kern w:val="0"/>
          <w:sz w:val="24"/>
          <w:szCs w:val="24"/>
        </w:rPr>
        <w:t>注：1. 上述合计价格应为服务期的最终优惠价格。</w:t>
      </w:r>
    </w:p>
    <w:p w14:paraId="5C50607D">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00DFE22F">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52442120">
      <w:pPr>
        <w:spacing w:line="360" w:lineRule="auto"/>
        <w:ind w:firstLine="448" w:firstLineChars="200"/>
        <w:rPr>
          <w:kern w:val="0"/>
          <w:sz w:val="24"/>
          <w:szCs w:val="24"/>
        </w:rPr>
      </w:pPr>
      <w:r>
        <w:rPr>
          <w:kern w:val="0"/>
          <w:sz w:val="24"/>
          <w:szCs w:val="24"/>
        </w:rPr>
        <w:t>4. 上述表格中列明的条目，在本项目中如不涉及，请填写“不涉及”。</w:t>
      </w:r>
    </w:p>
    <w:p w14:paraId="7847D316">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596AB8E9">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314728D4">
      <w:pPr>
        <w:spacing w:line="360" w:lineRule="auto"/>
        <w:ind w:right="85" w:firstLine="448" w:firstLineChars="200"/>
        <w:rPr>
          <w:sz w:val="24"/>
        </w:rPr>
      </w:pPr>
      <w:r>
        <w:rPr>
          <w:sz w:val="24"/>
        </w:rPr>
        <w:t>投标人名称：</w:t>
      </w:r>
    </w:p>
    <w:p w14:paraId="7EF9EB25">
      <w:pPr>
        <w:spacing w:line="360" w:lineRule="auto"/>
        <w:ind w:right="85" w:firstLine="448" w:firstLineChars="200"/>
        <w:rPr>
          <w:b/>
          <w:sz w:val="24"/>
        </w:rPr>
      </w:pPr>
      <w:r>
        <w:rPr>
          <w:sz w:val="24"/>
        </w:rPr>
        <w:t>日期：</w:t>
      </w:r>
      <w:r>
        <w:rPr>
          <w:b/>
          <w:sz w:val="24"/>
        </w:rPr>
        <w:br w:type="page"/>
      </w:r>
    </w:p>
    <w:p w14:paraId="695F73AA">
      <w:pPr>
        <w:spacing w:line="460" w:lineRule="exact"/>
        <w:rPr>
          <w:b/>
          <w:sz w:val="24"/>
        </w:rPr>
      </w:pPr>
      <w:r>
        <w:rPr>
          <w:rFonts w:hAnsiTheme="minorEastAsia"/>
          <w:b/>
          <w:sz w:val="24"/>
        </w:rPr>
        <w:t>附件</w:t>
      </w:r>
      <w:r>
        <w:rPr>
          <w:b/>
          <w:sz w:val="24"/>
        </w:rPr>
        <w:t>4</w:t>
      </w:r>
    </w:p>
    <w:p w14:paraId="3C20A879">
      <w:pPr>
        <w:tabs>
          <w:tab w:val="left" w:pos="3780"/>
          <w:tab w:val="left" w:pos="3960"/>
        </w:tabs>
        <w:spacing w:line="460" w:lineRule="exact"/>
        <w:jc w:val="center"/>
        <w:rPr>
          <w:b/>
          <w:sz w:val="24"/>
        </w:rPr>
      </w:pPr>
      <w:r>
        <w:rPr>
          <w:rFonts w:hAnsiTheme="minorEastAsia"/>
          <w:b/>
          <w:sz w:val="24"/>
        </w:rPr>
        <w:t>人员</w:t>
      </w:r>
      <w:r>
        <w:rPr>
          <w:rFonts w:hint="eastAsia" w:hAnsiTheme="minorEastAsia"/>
          <w:b/>
          <w:sz w:val="24"/>
        </w:rPr>
        <w:t>费用</w:t>
      </w:r>
      <w:r>
        <w:rPr>
          <w:rFonts w:hAnsiTheme="minorEastAsia"/>
          <w:b/>
          <w:sz w:val="24"/>
        </w:rPr>
        <w:t>分项一览表</w:t>
      </w:r>
    </w:p>
    <w:p w14:paraId="79FD5011">
      <w:pPr>
        <w:spacing w:line="460" w:lineRule="exact"/>
        <w:ind w:left="192"/>
        <w:rPr>
          <w:sz w:val="24"/>
        </w:rPr>
      </w:pPr>
      <w:r>
        <w:rPr>
          <w:rFonts w:hAnsiTheme="minorEastAsia"/>
          <w:sz w:val="24"/>
        </w:rPr>
        <w:t>项目名称：</w:t>
      </w:r>
    </w:p>
    <w:p w14:paraId="3A4464AA">
      <w:pPr>
        <w:spacing w:line="460" w:lineRule="exact"/>
        <w:ind w:left="192"/>
        <w:rPr>
          <w:sz w:val="24"/>
        </w:rPr>
      </w:pPr>
      <w:r>
        <w:rPr>
          <w:rFonts w:hAnsiTheme="minorEastAsia"/>
          <w:sz w:val="24"/>
        </w:rPr>
        <w:t>项目编号：</w:t>
      </w:r>
    </w:p>
    <w:p w14:paraId="0E5FDC75">
      <w:pPr>
        <w:spacing w:line="460" w:lineRule="exact"/>
        <w:ind w:left="192"/>
        <w:rPr>
          <w:sz w:val="24"/>
        </w:rPr>
      </w:pPr>
      <w:r>
        <w:rPr>
          <w:rFonts w:hAnsiTheme="minorEastAsia"/>
          <w:sz w:val="24"/>
        </w:rPr>
        <w:t>包号：</w:t>
      </w:r>
    </w:p>
    <w:p w14:paraId="7DCD81A8">
      <w:pPr>
        <w:spacing w:line="460" w:lineRule="exact"/>
        <w:ind w:firstLine="6496" w:firstLineChars="2900"/>
        <w:rPr>
          <w:sz w:val="24"/>
        </w:rPr>
      </w:pPr>
      <w:r>
        <w:rPr>
          <w:rFonts w:hAnsiTheme="minorEastAsia"/>
          <w:sz w:val="24"/>
        </w:rPr>
        <w:t>单位：元</w:t>
      </w:r>
    </w:p>
    <w:tbl>
      <w:tblPr>
        <w:tblStyle w:val="20"/>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4545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EA2F489">
            <w:pPr>
              <w:jc w:val="center"/>
              <w:rPr>
                <w:sz w:val="24"/>
                <w:szCs w:val="24"/>
              </w:rPr>
            </w:pPr>
            <w:r>
              <w:rPr>
                <w:rFonts w:hint="eastAsia" w:hAnsiTheme="minorEastAsia"/>
                <w:sz w:val="24"/>
                <w:szCs w:val="24"/>
              </w:rPr>
              <w:t>序号</w:t>
            </w:r>
          </w:p>
        </w:tc>
        <w:tc>
          <w:tcPr>
            <w:tcW w:w="1356" w:type="dxa"/>
            <w:vAlign w:val="center"/>
          </w:tcPr>
          <w:p w14:paraId="5CCAD75B">
            <w:pPr>
              <w:jc w:val="center"/>
              <w:rPr>
                <w:sz w:val="24"/>
                <w:szCs w:val="24"/>
              </w:rPr>
            </w:pPr>
            <w:r>
              <w:rPr>
                <w:rFonts w:hAnsiTheme="minorEastAsia"/>
                <w:sz w:val="24"/>
                <w:szCs w:val="24"/>
              </w:rPr>
              <w:t>具体岗位</w:t>
            </w:r>
          </w:p>
        </w:tc>
        <w:tc>
          <w:tcPr>
            <w:tcW w:w="1512" w:type="dxa"/>
            <w:vAlign w:val="center"/>
          </w:tcPr>
          <w:p w14:paraId="0B8277A5">
            <w:pPr>
              <w:jc w:val="center"/>
              <w:rPr>
                <w:sz w:val="24"/>
                <w:szCs w:val="24"/>
              </w:rPr>
            </w:pPr>
            <w:r>
              <w:rPr>
                <w:rFonts w:hAnsiTheme="minorEastAsia"/>
                <w:sz w:val="24"/>
                <w:szCs w:val="24"/>
              </w:rPr>
              <w:t>人数（人）</w:t>
            </w:r>
          </w:p>
        </w:tc>
        <w:tc>
          <w:tcPr>
            <w:tcW w:w="1416" w:type="dxa"/>
            <w:vAlign w:val="center"/>
          </w:tcPr>
          <w:p w14:paraId="56918E28">
            <w:pPr>
              <w:jc w:val="center"/>
              <w:rPr>
                <w:sz w:val="24"/>
                <w:szCs w:val="24"/>
              </w:rPr>
            </w:pPr>
            <w:r>
              <w:rPr>
                <w:rFonts w:hAnsiTheme="minorEastAsia"/>
                <w:sz w:val="24"/>
                <w:szCs w:val="24"/>
              </w:rPr>
              <w:t>月工资</w:t>
            </w:r>
            <w:r>
              <w:rPr>
                <w:sz w:val="24"/>
                <w:szCs w:val="24"/>
              </w:rPr>
              <w:t>/</w:t>
            </w:r>
            <w:r>
              <w:rPr>
                <w:rFonts w:hAnsiTheme="minorEastAsia"/>
                <w:sz w:val="24"/>
                <w:szCs w:val="24"/>
              </w:rPr>
              <w:t>人</w:t>
            </w:r>
          </w:p>
        </w:tc>
        <w:tc>
          <w:tcPr>
            <w:tcW w:w="1296" w:type="dxa"/>
            <w:vAlign w:val="center"/>
          </w:tcPr>
          <w:p w14:paraId="498657CA">
            <w:pPr>
              <w:jc w:val="center"/>
              <w:rPr>
                <w:sz w:val="24"/>
                <w:szCs w:val="24"/>
              </w:rPr>
            </w:pPr>
            <w:r>
              <w:rPr>
                <w:rFonts w:hAnsiTheme="minorEastAsia"/>
                <w:sz w:val="24"/>
                <w:szCs w:val="24"/>
              </w:rPr>
              <w:t>月保险</w:t>
            </w:r>
            <w:r>
              <w:rPr>
                <w:sz w:val="24"/>
                <w:szCs w:val="24"/>
              </w:rPr>
              <w:t>/</w:t>
            </w:r>
            <w:r>
              <w:rPr>
                <w:rFonts w:hAnsiTheme="minorEastAsia"/>
                <w:sz w:val="24"/>
                <w:szCs w:val="24"/>
              </w:rPr>
              <w:t>人</w:t>
            </w:r>
          </w:p>
        </w:tc>
        <w:tc>
          <w:tcPr>
            <w:tcW w:w="1116" w:type="dxa"/>
            <w:vAlign w:val="center"/>
          </w:tcPr>
          <w:p w14:paraId="5602216D">
            <w:pPr>
              <w:jc w:val="center"/>
              <w:rPr>
                <w:sz w:val="24"/>
                <w:szCs w:val="24"/>
              </w:rPr>
            </w:pPr>
            <w:r>
              <w:rPr>
                <w:rFonts w:hint="eastAsia" w:hAnsiTheme="minorEastAsia"/>
                <w:sz w:val="24"/>
                <w:szCs w:val="24"/>
              </w:rPr>
              <w:t>月公积金</w:t>
            </w:r>
            <w:r>
              <w:rPr>
                <w:rFonts w:hint="eastAsia"/>
                <w:sz w:val="24"/>
                <w:szCs w:val="24"/>
              </w:rPr>
              <w:t>/</w:t>
            </w:r>
            <w:r>
              <w:rPr>
                <w:rFonts w:hint="eastAsia" w:hAnsiTheme="minorEastAsia"/>
                <w:sz w:val="24"/>
                <w:szCs w:val="24"/>
              </w:rPr>
              <w:t>人</w:t>
            </w:r>
          </w:p>
        </w:tc>
        <w:tc>
          <w:tcPr>
            <w:tcW w:w="1116" w:type="dxa"/>
            <w:vAlign w:val="center"/>
          </w:tcPr>
          <w:p w14:paraId="3D814CF1">
            <w:pPr>
              <w:jc w:val="center"/>
              <w:rPr>
                <w:sz w:val="24"/>
                <w:szCs w:val="24"/>
              </w:rPr>
            </w:pPr>
            <w:r>
              <w:rPr>
                <w:rFonts w:hAnsiTheme="minorEastAsia"/>
                <w:sz w:val="24"/>
                <w:szCs w:val="24"/>
              </w:rPr>
              <w:t>月小计</w:t>
            </w:r>
          </w:p>
        </w:tc>
        <w:tc>
          <w:tcPr>
            <w:tcW w:w="1968" w:type="dxa"/>
            <w:vAlign w:val="center"/>
          </w:tcPr>
          <w:p w14:paraId="077AAED1">
            <w:pPr>
              <w:jc w:val="center"/>
              <w:rPr>
                <w:sz w:val="24"/>
                <w:szCs w:val="24"/>
              </w:rPr>
            </w:pPr>
            <w:r>
              <w:rPr>
                <w:rFonts w:hAnsiTheme="minorEastAsia"/>
                <w:sz w:val="24"/>
                <w:szCs w:val="24"/>
              </w:rPr>
              <w:t>招标文件规定的服务期</w:t>
            </w:r>
            <w:r>
              <w:rPr>
                <w:rFonts w:hint="eastAsia" w:hAnsiTheme="minorEastAsia"/>
                <w:sz w:val="24"/>
                <w:szCs w:val="24"/>
              </w:rPr>
              <w:t>小计</w:t>
            </w:r>
          </w:p>
        </w:tc>
      </w:tr>
      <w:tr w14:paraId="6C00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8415CDF">
            <w:pPr>
              <w:jc w:val="center"/>
              <w:rPr>
                <w:sz w:val="24"/>
                <w:szCs w:val="24"/>
              </w:rPr>
            </w:pPr>
          </w:p>
        </w:tc>
        <w:tc>
          <w:tcPr>
            <w:tcW w:w="1356" w:type="dxa"/>
            <w:vAlign w:val="center"/>
          </w:tcPr>
          <w:p w14:paraId="62192883">
            <w:pPr>
              <w:jc w:val="center"/>
              <w:rPr>
                <w:sz w:val="24"/>
                <w:szCs w:val="24"/>
              </w:rPr>
            </w:pPr>
          </w:p>
        </w:tc>
        <w:tc>
          <w:tcPr>
            <w:tcW w:w="1512" w:type="dxa"/>
            <w:vAlign w:val="center"/>
          </w:tcPr>
          <w:p w14:paraId="138060C6">
            <w:pPr>
              <w:jc w:val="center"/>
              <w:rPr>
                <w:sz w:val="24"/>
                <w:szCs w:val="24"/>
              </w:rPr>
            </w:pPr>
          </w:p>
        </w:tc>
        <w:tc>
          <w:tcPr>
            <w:tcW w:w="1416" w:type="dxa"/>
            <w:vAlign w:val="center"/>
          </w:tcPr>
          <w:p w14:paraId="5E83E367">
            <w:pPr>
              <w:jc w:val="center"/>
              <w:rPr>
                <w:sz w:val="24"/>
                <w:szCs w:val="24"/>
              </w:rPr>
            </w:pPr>
          </w:p>
        </w:tc>
        <w:tc>
          <w:tcPr>
            <w:tcW w:w="1296" w:type="dxa"/>
            <w:vAlign w:val="center"/>
          </w:tcPr>
          <w:p w14:paraId="04216BCA">
            <w:pPr>
              <w:jc w:val="center"/>
              <w:rPr>
                <w:sz w:val="24"/>
                <w:szCs w:val="24"/>
              </w:rPr>
            </w:pPr>
          </w:p>
        </w:tc>
        <w:tc>
          <w:tcPr>
            <w:tcW w:w="1116" w:type="dxa"/>
            <w:vAlign w:val="center"/>
          </w:tcPr>
          <w:p w14:paraId="337AB603">
            <w:pPr>
              <w:jc w:val="center"/>
              <w:rPr>
                <w:sz w:val="24"/>
                <w:szCs w:val="24"/>
              </w:rPr>
            </w:pPr>
          </w:p>
        </w:tc>
        <w:tc>
          <w:tcPr>
            <w:tcW w:w="1116" w:type="dxa"/>
            <w:vAlign w:val="center"/>
          </w:tcPr>
          <w:p w14:paraId="0C4F3C44">
            <w:pPr>
              <w:jc w:val="center"/>
              <w:rPr>
                <w:sz w:val="24"/>
                <w:szCs w:val="24"/>
              </w:rPr>
            </w:pPr>
          </w:p>
        </w:tc>
        <w:tc>
          <w:tcPr>
            <w:tcW w:w="1968" w:type="dxa"/>
            <w:vAlign w:val="center"/>
          </w:tcPr>
          <w:p w14:paraId="18F5EB7C">
            <w:pPr>
              <w:jc w:val="center"/>
              <w:rPr>
                <w:sz w:val="24"/>
                <w:szCs w:val="24"/>
              </w:rPr>
            </w:pPr>
          </w:p>
        </w:tc>
      </w:tr>
      <w:tr w14:paraId="30ED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6ABA383">
            <w:pPr>
              <w:jc w:val="center"/>
              <w:rPr>
                <w:sz w:val="24"/>
                <w:szCs w:val="24"/>
              </w:rPr>
            </w:pPr>
          </w:p>
        </w:tc>
        <w:tc>
          <w:tcPr>
            <w:tcW w:w="1356" w:type="dxa"/>
            <w:vAlign w:val="center"/>
          </w:tcPr>
          <w:p w14:paraId="0B70F244">
            <w:pPr>
              <w:jc w:val="center"/>
              <w:rPr>
                <w:sz w:val="24"/>
                <w:szCs w:val="24"/>
              </w:rPr>
            </w:pPr>
          </w:p>
        </w:tc>
        <w:tc>
          <w:tcPr>
            <w:tcW w:w="1512" w:type="dxa"/>
            <w:vAlign w:val="center"/>
          </w:tcPr>
          <w:p w14:paraId="3BF5B86B">
            <w:pPr>
              <w:jc w:val="center"/>
              <w:rPr>
                <w:sz w:val="24"/>
                <w:szCs w:val="24"/>
              </w:rPr>
            </w:pPr>
          </w:p>
        </w:tc>
        <w:tc>
          <w:tcPr>
            <w:tcW w:w="1416" w:type="dxa"/>
            <w:vAlign w:val="center"/>
          </w:tcPr>
          <w:p w14:paraId="1A8119AD">
            <w:pPr>
              <w:jc w:val="center"/>
              <w:rPr>
                <w:sz w:val="24"/>
                <w:szCs w:val="24"/>
              </w:rPr>
            </w:pPr>
          </w:p>
        </w:tc>
        <w:tc>
          <w:tcPr>
            <w:tcW w:w="1296" w:type="dxa"/>
            <w:vAlign w:val="center"/>
          </w:tcPr>
          <w:p w14:paraId="38EB781C">
            <w:pPr>
              <w:jc w:val="center"/>
              <w:rPr>
                <w:sz w:val="24"/>
                <w:szCs w:val="24"/>
              </w:rPr>
            </w:pPr>
          </w:p>
        </w:tc>
        <w:tc>
          <w:tcPr>
            <w:tcW w:w="1116" w:type="dxa"/>
            <w:vAlign w:val="center"/>
          </w:tcPr>
          <w:p w14:paraId="7006D5B5">
            <w:pPr>
              <w:jc w:val="center"/>
              <w:rPr>
                <w:sz w:val="24"/>
                <w:szCs w:val="24"/>
              </w:rPr>
            </w:pPr>
          </w:p>
        </w:tc>
        <w:tc>
          <w:tcPr>
            <w:tcW w:w="1116" w:type="dxa"/>
            <w:vAlign w:val="center"/>
          </w:tcPr>
          <w:p w14:paraId="0E9CAB33">
            <w:pPr>
              <w:jc w:val="center"/>
              <w:rPr>
                <w:sz w:val="24"/>
                <w:szCs w:val="24"/>
              </w:rPr>
            </w:pPr>
          </w:p>
        </w:tc>
        <w:tc>
          <w:tcPr>
            <w:tcW w:w="1968" w:type="dxa"/>
            <w:vAlign w:val="center"/>
          </w:tcPr>
          <w:p w14:paraId="292ED96F">
            <w:pPr>
              <w:jc w:val="center"/>
              <w:rPr>
                <w:sz w:val="24"/>
                <w:szCs w:val="24"/>
              </w:rPr>
            </w:pPr>
          </w:p>
        </w:tc>
      </w:tr>
      <w:tr w14:paraId="0A29D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9899172">
            <w:pPr>
              <w:jc w:val="center"/>
              <w:rPr>
                <w:sz w:val="24"/>
                <w:szCs w:val="24"/>
              </w:rPr>
            </w:pPr>
          </w:p>
        </w:tc>
        <w:tc>
          <w:tcPr>
            <w:tcW w:w="1356" w:type="dxa"/>
            <w:vAlign w:val="center"/>
          </w:tcPr>
          <w:p w14:paraId="02D262F0">
            <w:pPr>
              <w:jc w:val="center"/>
              <w:rPr>
                <w:sz w:val="24"/>
                <w:szCs w:val="24"/>
              </w:rPr>
            </w:pPr>
          </w:p>
        </w:tc>
        <w:tc>
          <w:tcPr>
            <w:tcW w:w="1512" w:type="dxa"/>
            <w:vAlign w:val="center"/>
          </w:tcPr>
          <w:p w14:paraId="328C55B3">
            <w:pPr>
              <w:jc w:val="center"/>
              <w:rPr>
                <w:sz w:val="24"/>
                <w:szCs w:val="24"/>
              </w:rPr>
            </w:pPr>
          </w:p>
        </w:tc>
        <w:tc>
          <w:tcPr>
            <w:tcW w:w="1416" w:type="dxa"/>
            <w:vAlign w:val="center"/>
          </w:tcPr>
          <w:p w14:paraId="556666F8">
            <w:pPr>
              <w:jc w:val="center"/>
              <w:rPr>
                <w:sz w:val="24"/>
                <w:szCs w:val="24"/>
              </w:rPr>
            </w:pPr>
          </w:p>
        </w:tc>
        <w:tc>
          <w:tcPr>
            <w:tcW w:w="1296" w:type="dxa"/>
            <w:vAlign w:val="center"/>
          </w:tcPr>
          <w:p w14:paraId="0C0148CC">
            <w:pPr>
              <w:jc w:val="center"/>
              <w:rPr>
                <w:sz w:val="24"/>
                <w:szCs w:val="24"/>
              </w:rPr>
            </w:pPr>
          </w:p>
        </w:tc>
        <w:tc>
          <w:tcPr>
            <w:tcW w:w="1116" w:type="dxa"/>
            <w:vAlign w:val="center"/>
          </w:tcPr>
          <w:p w14:paraId="3DEFFCB3">
            <w:pPr>
              <w:jc w:val="center"/>
              <w:rPr>
                <w:sz w:val="24"/>
                <w:szCs w:val="24"/>
              </w:rPr>
            </w:pPr>
          </w:p>
        </w:tc>
        <w:tc>
          <w:tcPr>
            <w:tcW w:w="1116" w:type="dxa"/>
            <w:vAlign w:val="center"/>
          </w:tcPr>
          <w:p w14:paraId="050C75D9">
            <w:pPr>
              <w:jc w:val="center"/>
              <w:rPr>
                <w:sz w:val="24"/>
                <w:szCs w:val="24"/>
              </w:rPr>
            </w:pPr>
          </w:p>
        </w:tc>
        <w:tc>
          <w:tcPr>
            <w:tcW w:w="1968" w:type="dxa"/>
            <w:vAlign w:val="center"/>
          </w:tcPr>
          <w:p w14:paraId="45691F28">
            <w:pPr>
              <w:jc w:val="center"/>
              <w:rPr>
                <w:sz w:val="24"/>
                <w:szCs w:val="24"/>
              </w:rPr>
            </w:pPr>
          </w:p>
        </w:tc>
      </w:tr>
      <w:tr w14:paraId="43EF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EE24539">
            <w:pPr>
              <w:jc w:val="center"/>
              <w:rPr>
                <w:sz w:val="24"/>
                <w:szCs w:val="24"/>
              </w:rPr>
            </w:pPr>
          </w:p>
        </w:tc>
        <w:tc>
          <w:tcPr>
            <w:tcW w:w="1356" w:type="dxa"/>
            <w:vAlign w:val="center"/>
          </w:tcPr>
          <w:p w14:paraId="60BCC92F">
            <w:pPr>
              <w:jc w:val="center"/>
              <w:rPr>
                <w:sz w:val="24"/>
                <w:szCs w:val="24"/>
              </w:rPr>
            </w:pPr>
          </w:p>
        </w:tc>
        <w:tc>
          <w:tcPr>
            <w:tcW w:w="1512" w:type="dxa"/>
            <w:vAlign w:val="center"/>
          </w:tcPr>
          <w:p w14:paraId="12353309">
            <w:pPr>
              <w:jc w:val="center"/>
              <w:rPr>
                <w:sz w:val="24"/>
                <w:szCs w:val="24"/>
              </w:rPr>
            </w:pPr>
          </w:p>
        </w:tc>
        <w:tc>
          <w:tcPr>
            <w:tcW w:w="1416" w:type="dxa"/>
            <w:vAlign w:val="center"/>
          </w:tcPr>
          <w:p w14:paraId="3D4CA029">
            <w:pPr>
              <w:jc w:val="center"/>
              <w:rPr>
                <w:sz w:val="24"/>
                <w:szCs w:val="24"/>
              </w:rPr>
            </w:pPr>
          </w:p>
        </w:tc>
        <w:tc>
          <w:tcPr>
            <w:tcW w:w="1296" w:type="dxa"/>
            <w:vAlign w:val="center"/>
          </w:tcPr>
          <w:p w14:paraId="676749DD">
            <w:pPr>
              <w:jc w:val="center"/>
              <w:rPr>
                <w:sz w:val="24"/>
                <w:szCs w:val="24"/>
              </w:rPr>
            </w:pPr>
          </w:p>
        </w:tc>
        <w:tc>
          <w:tcPr>
            <w:tcW w:w="1116" w:type="dxa"/>
            <w:vAlign w:val="center"/>
          </w:tcPr>
          <w:p w14:paraId="78A5A69E">
            <w:pPr>
              <w:jc w:val="center"/>
              <w:rPr>
                <w:sz w:val="24"/>
                <w:szCs w:val="24"/>
              </w:rPr>
            </w:pPr>
          </w:p>
        </w:tc>
        <w:tc>
          <w:tcPr>
            <w:tcW w:w="1116" w:type="dxa"/>
            <w:vAlign w:val="center"/>
          </w:tcPr>
          <w:p w14:paraId="4D25C993">
            <w:pPr>
              <w:jc w:val="center"/>
              <w:rPr>
                <w:sz w:val="24"/>
                <w:szCs w:val="24"/>
              </w:rPr>
            </w:pPr>
          </w:p>
        </w:tc>
        <w:tc>
          <w:tcPr>
            <w:tcW w:w="1968" w:type="dxa"/>
            <w:vAlign w:val="center"/>
          </w:tcPr>
          <w:p w14:paraId="223397A2">
            <w:pPr>
              <w:jc w:val="center"/>
              <w:rPr>
                <w:sz w:val="24"/>
                <w:szCs w:val="24"/>
              </w:rPr>
            </w:pPr>
          </w:p>
        </w:tc>
      </w:tr>
      <w:tr w14:paraId="6CCD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6ECE6B96">
            <w:pPr>
              <w:jc w:val="center"/>
              <w:rPr>
                <w:sz w:val="24"/>
                <w:szCs w:val="24"/>
              </w:rPr>
            </w:pPr>
            <w:r>
              <w:rPr>
                <w:rFonts w:hint="eastAsia" w:hAnsiTheme="minorEastAsia"/>
                <w:sz w:val="24"/>
                <w:szCs w:val="24"/>
              </w:rPr>
              <w:t>人员费用合计</w:t>
            </w:r>
          </w:p>
        </w:tc>
        <w:tc>
          <w:tcPr>
            <w:tcW w:w="1116" w:type="dxa"/>
            <w:vAlign w:val="center"/>
          </w:tcPr>
          <w:p w14:paraId="05090BEE">
            <w:pPr>
              <w:jc w:val="center"/>
              <w:rPr>
                <w:sz w:val="24"/>
                <w:szCs w:val="24"/>
              </w:rPr>
            </w:pPr>
          </w:p>
        </w:tc>
        <w:tc>
          <w:tcPr>
            <w:tcW w:w="1968" w:type="dxa"/>
            <w:vAlign w:val="center"/>
          </w:tcPr>
          <w:p w14:paraId="178458CE">
            <w:pPr>
              <w:jc w:val="center"/>
              <w:rPr>
                <w:sz w:val="24"/>
                <w:szCs w:val="24"/>
              </w:rPr>
            </w:pPr>
          </w:p>
        </w:tc>
      </w:tr>
    </w:tbl>
    <w:p w14:paraId="7424F36D">
      <w:pPr>
        <w:autoSpaceDE w:val="0"/>
        <w:autoSpaceDN w:val="0"/>
        <w:adjustRightInd w:val="0"/>
        <w:spacing w:line="360" w:lineRule="auto"/>
        <w:rPr>
          <w:b/>
          <w:color w:val="000000"/>
          <w:sz w:val="24"/>
        </w:rPr>
      </w:pPr>
      <w:r>
        <w:rPr>
          <w:rFonts w:hint="eastAsia" w:hAnsiTheme="minorEastAsia"/>
          <w:b/>
          <w:color w:val="000000"/>
          <w:sz w:val="24"/>
        </w:rPr>
        <w:t>备注：</w:t>
      </w:r>
    </w:p>
    <w:p w14:paraId="2834018B">
      <w:pPr>
        <w:autoSpaceDE w:val="0"/>
        <w:autoSpaceDN w:val="0"/>
        <w:adjustRightInd w:val="0"/>
        <w:spacing w:line="360" w:lineRule="auto"/>
        <w:ind w:firstLine="448" w:firstLineChars="200"/>
        <w:rPr>
          <w:b/>
          <w:color w:val="000000"/>
          <w:sz w:val="24"/>
        </w:rPr>
      </w:pPr>
      <w:r>
        <w:rPr>
          <w:b/>
          <w:color w:val="000000"/>
          <w:sz w:val="24"/>
        </w:rPr>
        <w:t>1</w:t>
      </w:r>
      <w:r>
        <w:rPr>
          <w:rFonts w:hAnsiTheme="minorEastAsia"/>
          <w:b/>
          <w:color w:val="000000"/>
          <w:sz w:val="24"/>
        </w:rPr>
        <w:t>、上表中工资是指在扣除劳动者个人负担的社会保险费、</w:t>
      </w:r>
      <w:r>
        <w:rPr>
          <w:rFonts w:hint="eastAsia" w:hAnsiTheme="minorEastAsia"/>
          <w:b/>
          <w:color w:val="000000"/>
          <w:sz w:val="24"/>
        </w:rPr>
        <w:t>个人负担的公积金、</w:t>
      </w:r>
      <w:r>
        <w:rPr>
          <w:rFonts w:hAnsiTheme="minorEastAsia"/>
          <w:b/>
          <w:color w:val="000000"/>
          <w:sz w:val="24"/>
        </w:rPr>
        <w:t>个人所得税等合理费用之前的应发工资；</w:t>
      </w:r>
    </w:p>
    <w:p w14:paraId="486AE30A">
      <w:pPr>
        <w:autoSpaceDE w:val="0"/>
        <w:autoSpaceDN w:val="0"/>
        <w:adjustRightInd w:val="0"/>
        <w:spacing w:line="360" w:lineRule="auto"/>
        <w:ind w:firstLine="448" w:firstLineChars="200"/>
        <w:rPr>
          <w:b/>
          <w:color w:val="000000"/>
          <w:sz w:val="24"/>
        </w:rPr>
      </w:pPr>
      <w:r>
        <w:rPr>
          <w:b/>
          <w:color w:val="000000"/>
          <w:sz w:val="24"/>
        </w:rPr>
        <w:t>2</w:t>
      </w:r>
      <w:r>
        <w:rPr>
          <w:rFonts w:hAnsiTheme="minorEastAsia"/>
          <w:b/>
          <w:color w:val="000000"/>
          <w:sz w:val="24"/>
        </w:rPr>
        <w:t>、投标人应按国家及天津市社会保险</w:t>
      </w:r>
      <w:r>
        <w:rPr>
          <w:rFonts w:hint="eastAsia" w:hAnsiTheme="minorEastAsia"/>
          <w:b/>
          <w:color w:val="000000"/>
          <w:sz w:val="24"/>
        </w:rPr>
        <w:t>、住房公积金</w:t>
      </w:r>
      <w:r>
        <w:rPr>
          <w:rFonts w:hAnsiTheme="minorEastAsia"/>
          <w:b/>
          <w:color w:val="000000"/>
          <w:sz w:val="24"/>
        </w:rPr>
        <w:t>相关规定</w:t>
      </w:r>
      <w:r>
        <w:rPr>
          <w:rFonts w:hint="eastAsia" w:hAnsiTheme="minorEastAsia"/>
          <w:b/>
          <w:color w:val="000000"/>
          <w:sz w:val="24"/>
        </w:rPr>
        <w:t>为本项目人员</w:t>
      </w:r>
      <w:r>
        <w:rPr>
          <w:rFonts w:hAnsiTheme="minorEastAsia"/>
          <w:b/>
          <w:color w:val="000000"/>
          <w:sz w:val="24"/>
        </w:rPr>
        <w:t>缴纳社会保险</w:t>
      </w:r>
      <w:r>
        <w:rPr>
          <w:rFonts w:hint="eastAsia" w:hAnsiTheme="minorEastAsia"/>
          <w:b/>
          <w:color w:val="000000"/>
          <w:sz w:val="24"/>
        </w:rPr>
        <w:t>、住房公积金</w:t>
      </w:r>
      <w:r>
        <w:rPr>
          <w:rFonts w:hAnsiTheme="minorEastAsia"/>
          <w:b/>
          <w:color w:val="000000"/>
          <w:sz w:val="24"/>
        </w:rPr>
        <w:t>，在投标文件中对人员保险</w:t>
      </w:r>
      <w:r>
        <w:rPr>
          <w:rFonts w:hint="eastAsia" w:hAnsiTheme="minorEastAsia"/>
          <w:b/>
          <w:color w:val="000000"/>
          <w:sz w:val="24"/>
        </w:rPr>
        <w:t>、公积金</w:t>
      </w:r>
      <w:r>
        <w:rPr>
          <w:rFonts w:hAnsiTheme="minorEastAsia"/>
          <w:b/>
          <w:color w:val="000000"/>
          <w:sz w:val="24"/>
        </w:rPr>
        <w:t>缴纳类别及测算标准另附说明，如有人员享有优惠政策，须将享有优惠政策的批准文件和政策文件一并提供，否则不予认定。</w:t>
      </w:r>
    </w:p>
    <w:p w14:paraId="652656ED">
      <w:pPr>
        <w:autoSpaceDE w:val="0"/>
        <w:autoSpaceDN w:val="0"/>
        <w:adjustRightInd w:val="0"/>
        <w:spacing w:line="360" w:lineRule="auto"/>
        <w:ind w:firstLine="448" w:firstLineChars="200"/>
        <w:rPr>
          <w:b/>
          <w:color w:val="000000"/>
          <w:sz w:val="24"/>
        </w:rPr>
      </w:pPr>
      <w:r>
        <w:rPr>
          <w:rFonts w:hint="eastAsia"/>
          <w:b/>
          <w:color w:val="000000"/>
          <w:sz w:val="24"/>
        </w:rPr>
        <w:t>3</w:t>
      </w:r>
      <w:r>
        <w:rPr>
          <w:rFonts w:hAnsiTheme="minorEastAsia"/>
          <w:b/>
          <w:color w:val="000000"/>
          <w:sz w:val="24"/>
        </w:rPr>
        <w:t>、上表中的月小计</w:t>
      </w:r>
      <w:r>
        <w:rPr>
          <w:b/>
          <w:color w:val="000000"/>
          <w:sz w:val="24"/>
        </w:rPr>
        <w:t>=</w:t>
      </w:r>
      <w:r>
        <w:rPr>
          <w:rFonts w:hAnsiTheme="minorEastAsia"/>
          <w:b/>
          <w:color w:val="000000"/>
          <w:sz w:val="24"/>
        </w:rPr>
        <w:t>人数</w:t>
      </w:r>
      <w:r>
        <w:rPr>
          <w:b/>
          <w:color w:val="000000"/>
          <w:sz w:val="24"/>
        </w:rPr>
        <w:t>*</w:t>
      </w:r>
      <w:r>
        <w:rPr>
          <w:rFonts w:hAnsiTheme="minorEastAsia"/>
          <w:b/>
          <w:color w:val="000000"/>
          <w:sz w:val="24"/>
        </w:rPr>
        <w:t>（月工资</w:t>
      </w:r>
      <w:r>
        <w:rPr>
          <w:b/>
          <w:color w:val="000000"/>
          <w:sz w:val="24"/>
        </w:rPr>
        <w:t>/</w:t>
      </w:r>
      <w:r>
        <w:rPr>
          <w:rFonts w:hAnsiTheme="minorEastAsia"/>
          <w:b/>
          <w:color w:val="000000"/>
          <w:sz w:val="24"/>
        </w:rPr>
        <w:t>人</w:t>
      </w:r>
      <w:r>
        <w:rPr>
          <w:b/>
          <w:color w:val="000000"/>
          <w:sz w:val="24"/>
        </w:rPr>
        <w:t>+</w:t>
      </w:r>
      <w:r>
        <w:rPr>
          <w:rFonts w:hAnsiTheme="minorEastAsia"/>
          <w:b/>
          <w:color w:val="000000"/>
          <w:sz w:val="24"/>
        </w:rPr>
        <w:t>月保险</w:t>
      </w:r>
      <w:r>
        <w:rPr>
          <w:b/>
          <w:color w:val="000000"/>
          <w:sz w:val="24"/>
        </w:rPr>
        <w:t>/</w:t>
      </w:r>
      <w:r>
        <w:rPr>
          <w:rFonts w:hAnsiTheme="minorEastAsia"/>
          <w:b/>
          <w:color w:val="000000"/>
          <w:sz w:val="24"/>
        </w:rPr>
        <w:t>人</w:t>
      </w:r>
      <w:r>
        <w:rPr>
          <w:rFonts w:hint="eastAsia"/>
          <w:b/>
          <w:color w:val="000000"/>
          <w:sz w:val="24"/>
        </w:rPr>
        <w:t>+</w:t>
      </w:r>
      <w:r>
        <w:rPr>
          <w:rFonts w:hint="eastAsia" w:hAnsiTheme="minorEastAsia"/>
          <w:b/>
          <w:color w:val="000000"/>
          <w:sz w:val="24"/>
        </w:rPr>
        <w:t>月公积金</w:t>
      </w:r>
      <w:r>
        <w:rPr>
          <w:rFonts w:hint="eastAsia"/>
          <w:b/>
          <w:color w:val="000000"/>
          <w:sz w:val="24"/>
        </w:rPr>
        <w:t>/</w:t>
      </w:r>
      <w:r>
        <w:rPr>
          <w:rFonts w:hint="eastAsia" w:hAnsiTheme="minorEastAsia"/>
          <w:b/>
          <w:color w:val="000000"/>
          <w:sz w:val="24"/>
        </w:rPr>
        <w:t>人</w:t>
      </w:r>
      <w:r>
        <w:rPr>
          <w:rFonts w:hAnsiTheme="minorEastAsia"/>
          <w:b/>
          <w:color w:val="000000"/>
          <w:sz w:val="24"/>
        </w:rPr>
        <w:t>），招标文件规定的服务期</w:t>
      </w:r>
      <w:r>
        <w:rPr>
          <w:rFonts w:hint="eastAsia" w:hAnsiTheme="minorEastAsia"/>
          <w:b/>
          <w:color w:val="000000"/>
          <w:sz w:val="24"/>
        </w:rPr>
        <w:t>小计</w:t>
      </w:r>
      <w:r>
        <w:rPr>
          <w:b/>
          <w:color w:val="000000"/>
          <w:sz w:val="24"/>
        </w:rPr>
        <w:t>=</w:t>
      </w:r>
      <w:r>
        <w:rPr>
          <w:rFonts w:hAnsiTheme="minorEastAsia"/>
          <w:b/>
          <w:color w:val="000000"/>
          <w:sz w:val="24"/>
        </w:rPr>
        <w:t>月小计</w:t>
      </w:r>
      <w:r>
        <w:rPr>
          <w:b/>
          <w:color w:val="000000"/>
          <w:sz w:val="24"/>
        </w:rPr>
        <w:t>*</w:t>
      </w:r>
      <w:r>
        <w:rPr>
          <w:rFonts w:hAnsiTheme="minorEastAsia"/>
          <w:b/>
          <w:color w:val="000000"/>
          <w:sz w:val="24"/>
        </w:rPr>
        <w:t>招标文件规定的服务</w:t>
      </w:r>
      <w:r>
        <w:rPr>
          <w:rFonts w:hint="eastAsia" w:hAnsiTheme="minorEastAsia"/>
          <w:b/>
          <w:color w:val="000000"/>
          <w:sz w:val="24"/>
        </w:rPr>
        <w:t>月数</w:t>
      </w:r>
    </w:p>
    <w:p w14:paraId="3316808E">
      <w:pPr>
        <w:spacing w:line="460" w:lineRule="exact"/>
        <w:rPr>
          <w:sz w:val="24"/>
          <w:szCs w:val="24"/>
        </w:rPr>
      </w:pPr>
    </w:p>
    <w:p w14:paraId="3A0F2F6C">
      <w:pPr>
        <w:spacing w:line="360" w:lineRule="auto"/>
        <w:ind w:right="84" w:firstLine="224" w:firstLineChars="100"/>
        <w:rPr>
          <w:sz w:val="24"/>
        </w:rPr>
      </w:pPr>
      <w:r>
        <w:rPr>
          <w:rFonts w:hAnsiTheme="minorEastAsia"/>
          <w:sz w:val="24"/>
        </w:rPr>
        <w:t>投标人名称：</w:t>
      </w:r>
    </w:p>
    <w:p w14:paraId="74CB4CAF">
      <w:pPr>
        <w:spacing w:line="360" w:lineRule="auto"/>
        <w:ind w:right="84" w:firstLine="224" w:firstLineChars="100"/>
        <w:rPr>
          <w:b/>
          <w:sz w:val="24"/>
        </w:rPr>
      </w:pPr>
      <w:r>
        <w:rPr>
          <w:rFonts w:hAnsiTheme="minorEastAsia"/>
          <w:sz w:val="24"/>
        </w:rPr>
        <w:t>日期：</w:t>
      </w:r>
      <w:r>
        <w:rPr>
          <w:b/>
          <w:sz w:val="24"/>
        </w:rPr>
        <w:br w:type="page"/>
      </w:r>
    </w:p>
    <w:p w14:paraId="732821BC">
      <w:pPr>
        <w:spacing w:line="560" w:lineRule="exact"/>
        <w:rPr>
          <w:b/>
          <w:sz w:val="24"/>
        </w:rPr>
      </w:pPr>
      <w:r>
        <w:rPr>
          <w:rFonts w:hAnsiTheme="minorEastAsia"/>
          <w:b/>
          <w:sz w:val="24"/>
        </w:rPr>
        <w:t>附件</w:t>
      </w:r>
      <w:r>
        <w:rPr>
          <w:b/>
          <w:sz w:val="24"/>
        </w:rPr>
        <w:t>5</w:t>
      </w:r>
    </w:p>
    <w:p w14:paraId="2A68964A">
      <w:pPr>
        <w:autoSpaceDN w:val="0"/>
        <w:spacing w:line="360" w:lineRule="auto"/>
        <w:jc w:val="center"/>
        <w:rPr>
          <w:b/>
          <w:bCs/>
          <w:sz w:val="24"/>
        </w:rPr>
      </w:pPr>
      <w:r>
        <w:rPr>
          <w:rFonts w:hAnsiTheme="minorEastAsia"/>
          <w:b/>
          <w:bCs/>
          <w:sz w:val="24"/>
        </w:rPr>
        <w:t>商务要求点对点应答表</w:t>
      </w:r>
    </w:p>
    <w:p w14:paraId="27C432A9">
      <w:pPr>
        <w:spacing w:line="460" w:lineRule="exact"/>
        <w:rPr>
          <w:sz w:val="24"/>
        </w:rPr>
      </w:pPr>
    </w:p>
    <w:p w14:paraId="2B726421">
      <w:pPr>
        <w:spacing w:line="460" w:lineRule="exact"/>
        <w:rPr>
          <w:sz w:val="24"/>
        </w:rPr>
      </w:pPr>
      <w:r>
        <w:rPr>
          <w:rFonts w:hAnsiTheme="minorEastAsia"/>
          <w:sz w:val="24"/>
        </w:rPr>
        <w:t>项目名称：</w:t>
      </w:r>
    </w:p>
    <w:p w14:paraId="1C0DF944">
      <w:pPr>
        <w:spacing w:line="460" w:lineRule="exact"/>
        <w:rPr>
          <w:sz w:val="24"/>
        </w:rPr>
      </w:pPr>
      <w:r>
        <w:rPr>
          <w:rFonts w:hAnsiTheme="minorEastAsia"/>
          <w:sz w:val="24"/>
        </w:rPr>
        <w:t>项目编号：</w:t>
      </w:r>
    </w:p>
    <w:p w14:paraId="23C7F4A6">
      <w:pPr>
        <w:spacing w:line="460" w:lineRule="exact"/>
        <w:rPr>
          <w:sz w:val="24"/>
          <w:u w:val="single"/>
        </w:rPr>
      </w:pPr>
      <w:r>
        <w:rPr>
          <w:rFonts w:hAnsiTheme="minorEastAsia"/>
          <w:sz w:val="24"/>
        </w:rPr>
        <w:t>包号：</w:t>
      </w:r>
    </w:p>
    <w:p w14:paraId="70636AF2">
      <w:pPr>
        <w:spacing w:line="460" w:lineRule="exact"/>
        <w:rPr>
          <w:sz w:val="24"/>
          <w:u w:val="single"/>
        </w:rPr>
      </w:pPr>
    </w:p>
    <w:tbl>
      <w:tblPr>
        <w:tblStyle w:val="20"/>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6EC886CA">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750F0A96">
            <w:pPr>
              <w:widowControl/>
              <w:jc w:val="center"/>
              <w:rPr>
                <w:kern w:val="0"/>
                <w:szCs w:val="21"/>
              </w:rPr>
            </w:pPr>
            <w:r>
              <w:rPr>
                <w:rFonts w:hAnsiTheme="minorEastAsia"/>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15E24591">
            <w:pPr>
              <w:widowControl/>
              <w:jc w:val="center"/>
              <w:rPr>
                <w:kern w:val="0"/>
                <w:szCs w:val="21"/>
              </w:rPr>
            </w:pPr>
            <w:r>
              <w:rPr>
                <w:rFonts w:hAnsiTheme="minorEastAsia"/>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4D2D44A1">
            <w:pPr>
              <w:widowControl/>
              <w:jc w:val="center"/>
              <w:rPr>
                <w:kern w:val="0"/>
                <w:szCs w:val="21"/>
              </w:rPr>
            </w:pPr>
            <w:r>
              <w:rPr>
                <w:rFonts w:hAnsiTheme="minorEastAsia"/>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32E3203D">
            <w:pPr>
              <w:widowControl/>
              <w:jc w:val="center"/>
              <w:rPr>
                <w:kern w:val="0"/>
                <w:szCs w:val="21"/>
              </w:rPr>
            </w:pPr>
            <w:r>
              <w:rPr>
                <w:rFonts w:hAnsiTheme="minorEastAsia"/>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1DEFAA55">
            <w:pPr>
              <w:widowControl/>
              <w:jc w:val="center"/>
              <w:rPr>
                <w:kern w:val="0"/>
                <w:szCs w:val="21"/>
              </w:rPr>
            </w:pPr>
            <w:r>
              <w:rPr>
                <w:rFonts w:hAnsiTheme="minorEastAsia"/>
                <w:kern w:val="0"/>
                <w:szCs w:val="21"/>
              </w:rPr>
              <w:t>备注</w:t>
            </w:r>
          </w:p>
        </w:tc>
      </w:tr>
      <w:tr w14:paraId="437C11C4">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B81EA82">
            <w:pPr>
              <w:widowControl/>
              <w:jc w:val="left"/>
              <w:rPr>
                <w:kern w:val="0"/>
                <w:szCs w:val="21"/>
              </w:rPr>
            </w:pPr>
            <w:r>
              <w:rPr>
                <w:rFonts w:hAnsiTheme="minorEastAsia"/>
                <w:kern w:val="0"/>
                <w:szCs w:val="21"/>
              </w:rPr>
              <w:t>（一）报价要求</w:t>
            </w:r>
          </w:p>
        </w:tc>
      </w:tr>
      <w:tr w14:paraId="5A2C17BA">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46AEC045">
            <w:pPr>
              <w:widowControl/>
              <w:jc w:val="left"/>
              <w:rPr>
                <w:kern w:val="0"/>
                <w:szCs w:val="21"/>
              </w:rPr>
            </w:pPr>
            <w:r>
              <w:rPr>
                <w:rFonts w:hAnsiTheme="minorEastAsia"/>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FF6C75B">
            <w:pPr>
              <w:widowControl/>
              <w:jc w:val="left"/>
              <w:rPr>
                <w:kern w:val="0"/>
                <w:szCs w:val="21"/>
              </w:rPr>
            </w:pPr>
            <w:r>
              <w:rPr>
                <w:rFonts w:hAnsiTheme="minorEastAsia"/>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1203C15">
            <w:pPr>
              <w:widowControl/>
              <w:jc w:val="left"/>
              <w:rPr>
                <w:kern w:val="0"/>
                <w:szCs w:val="21"/>
              </w:rPr>
            </w:pPr>
            <w:r>
              <w:rPr>
                <w:rFonts w:hAnsiTheme="minorEastAsia"/>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3B12113">
            <w:pPr>
              <w:widowControl/>
              <w:jc w:val="left"/>
              <w:rPr>
                <w:kern w:val="0"/>
                <w:szCs w:val="21"/>
              </w:rPr>
            </w:pPr>
            <w:r>
              <w:rPr>
                <w:rFonts w:hAnsiTheme="minorEastAsia"/>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F6FE80A">
            <w:pPr>
              <w:widowControl/>
              <w:jc w:val="left"/>
              <w:rPr>
                <w:kern w:val="0"/>
                <w:szCs w:val="21"/>
              </w:rPr>
            </w:pPr>
            <w:r>
              <w:rPr>
                <w:rFonts w:hAnsiTheme="minorEastAsia"/>
                <w:kern w:val="0"/>
                <w:szCs w:val="21"/>
              </w:rPr>
              <w:t>　</w:t>
            </w:r>
          </w:p>
        </w:tc>
      </w:tr>
      <w:tr w14:paraId="4CAC0D6F">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4175119">
            <w:pPr>
              <w:widowControl/>
              <w:jc w:val="left"/>
              <w:rPr>
                <w:kern w:val="0"/>
                <w:szCs w:val="21"/>
              </w:rPr>
            </w:pPr>
            <w:r>
              <w:rPr>
                <w:rFonts w:hAnsiTheme="minorEastAsia"/>
                <w:kern w:val="0"/>
                <w:szCs w:val="21"/>
              </w:rPr>
              <w:t>（二）时间、地点要求</w:t>
            </w:r>
          </w:p>
        </w:tc>
      </w:tr>
      <w:tr w14:paraId="25F54FF8">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CF2E494">
            <w:pPr>
              <w:widowControl/>
              <w:jc w:val="left"/>
              <w:rPr>
                <w:kern w:val="0"/>
                <w:szCs w:val="21"/>
              </w:rPr>
            </w:pPr>
            <w:r>
              <w:rPr>
                <w:rFonts w:hAnsiTheme="minorEastAsia"/>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2C1E03A">
            <w:pPr>
              <w:widowControl/>
              <w:jc w:val="left"/>
              <w:rPr>
                <w:kern w:val="0"/>
                <w:szCs w:val="21"/>
              </w:rPr>
            </w:pPr>
            <w:r>
              <w:rPr>
                <w:rFonts w:hAnsiTheme="minorEastAsia"/>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6BC93A8">
            <w:pPr>
              <w:widowControl/>
              <w:jc w:val="left"/>
              <w:rPr>
                <w:kern w:val="0"/>
                <w:szCs w:val="21"/>
              </w:rPr>
            </w:pPr>
            <w:r>
              <w:rPr>
                <w:rFonts w:hAnsiTheme="minorEastAsia"/>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56EB0EE4">
            <w:pPr>
              <w:widowControl/>
              <w:jc w:val="left"/>
              <w:rPr>
                <w:kern w:val="0"/>
                <w:szCs w:val="21"/>
              </w:rPr>
            </w:pPr>
            <w:r>
              <w:rPr>
                <w:rFonts w:hAnsiTheme="minorEastAsia"/>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87F2057">
            <w:pPr>
              <w:widowControl/>
              <w:jc w:val="left"/>
              <w:rPr>
                <w:kern w:val="0"/>
                <w:szCs w:val="21"/>
              </w:rPr>
            </w:pPr>
            <w:r>
              <w:rPr>
                <w:rFonts w:hAnsiTheme="minorEastAsia"/>
                <w:kern w:val="0"/>
                <w:szCs w:val="21"/>
              </w:rPr>
              <w:t>　</w:t>
            </w:r>
          </w:p>
        </w:tc>
      </w:tr>
      <w:tr w14:paraId="24C21FDB">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6FE7605">
            <w:pPr>
              <w:widowControl/>
              <w:jc w:val="left"/>
              <w:rPr>
                <w:kern w:val="0"/>
                <w:szCs w:val="21"/>
              </w:rPr>
            </w:pPr>
            <w:r>
              <w:rPr>
                <w:rFonts w:hAnsiTheme="minorEastAsia"/>
                <w:kern w:val="0"/>
                <w:szCs w:val="21"/>
              </w:rPr>
              <w:t>（三）付款方式</w:t>
            </w:r>
          </w:p>
        </w:tc>
      </w:tr>
      <w:tr w14:paraId="64A5716F">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104053D">
            <w:pPr>
              <w:widowControl/>
              <w:jc w:val="left"/>
              <w:rPr>
                <w:kern w:val="0"/>
                <w:szCs w:val="21"/>
              </w:rPr>
            </w:pPr>
            <w:r>
              <w:rPr>
                <w:rFonts w:hAnsiTheme="minorEastAsia"/>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DA1A1E0">
            <w:pPr>
              <w:widowControl/>
              <w:jc w:val="left"/>
              <w:rPr>
                <w:kern w:val="0"/>
                <w:szCs w:val="21"/>
              </w:rPr>
            </w:pPr>
            <w:r>
              <w:rPr>
                <w:rFonts w:hAnsiTheme="minorEastAsia"/>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385B158">
            <w:pPr>
              <w:widowControl/>
              <w:jc w:val="left"/>
              <w:rPr>
                <w:kern w:val="0"/>
                <w:szCs w:val="21"/>
              </w:rPr>
            </w:pPr>
            <w:r>
              <w:rPr>
                <w:rFonts w:hAnsiTheme="minorEastAsia"/>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2C37E89">
            <w:pPr>
              <w:widowControl/>
              <w:jc w:val="left"/>
              <w:rPr>
                <w:kern w:val="0"/>
                <w:szCs w:val="21"/>
              </w:rPr>
            </w:pPr>
            <w:r>
              <w:rPr>
                <w:rFonts w:hAnsiTheme="minorEastAsia"/>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B5D08EE">
            <w:pPr>
              <w:widowControl/>
              <w:jc w:val="left"/>
              <w:rPr>
                <w:kern w:val="0"/>
                <w:szCs w:val="21"/>
              </w:rPr>
            </w:pPr>
            <w:r>
              <w:rPr>
                <w:rFonts w:hAnsiTheme="minorEastAsia"/>
                <w:kern w:val="0"/>
                <w:szCs w:val="21"/>
              </w:rPr>
              <w:t>　</w:t>
            </w:r>
          </w:p>
        </w:tc>
      </w:tr>
      <w:tr w14:paraId="29C409D4">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A812AD0">
            <w:pPr>
              <w:widowControl/>
              <w:jc w:val="left"/>
              <w:rPr>
                <w:kern w:val="0"/>
                <w:szCs w:val="21"/>
              </w:rPr>
            </w:pPr>
            <w:r>
              <w:rPr>
                <w:rFonts w:hAnsiTheme="minorEastAsia"/>
                <w:kern w:val="0"/>
                <w:szCs w:val="21"/>
              </w:rPr>
              <w:t>（四）投标保证金和履约保证金</w:t>
            </w:r>
          </w:p>
        </w:tc>
      </w:tr>
      <w:tr w14:paraId="715F54DA">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01D7968">
            <w:pPr>
              <w:widowControl/>
              <w:jc w:val="left"/>
              <w:rPr>
                <w:kern w:val="0"/>
                <w:szCs w:val="21"/>
              </w:rPr>
            </w:pPr>
            <w:r>
              <w:rPr>
                <w:rFonts w:hAnsiTheme="minorEastAsia"/>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B57A203">
            <w:pPr>
              <w:widowControl/>
              <w:jc w:val="left"/>
              <w:rPr>
                <w:kern w:val="0"/>
                <w:szCs w:val="21"/>
              </w:rPr>
            </w:pPr>
            <w:r>
              <w:rPr>
                <w:rFonts w:hAnsiTheme="minorEastAsia"/>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8D3097D">
            <w:pPr>
              <w:widowControl/>
              <w:jc w:val="left"/>
              <w:rPr>
                <w:kern w:val="0"/>
                <w:szCs w:val="21"/>
              </w:rPr>
            </w:pPr>
            <w:r>
              <w:rPr>
                <w:rFonts w:hAnsiTheme="minorEastAsia"/>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0623D47">
            <w:pPr>
              <w:widowControl/>
              <w:jc w:val="left"/>
              <w:rPr>
                <w:kern w:val="0"/>
                <w:szCs w:val="21"/>
              </w:rPr>
            </w:pPr>
            <w:r>
              <w:rPr>
                <w:rFonts w:hAnsiTheme="minorEastAsia"/>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5981156">
            <w:pPr>
              <w:widowControl/>
              <w:jc w:val="left"/>
              <w:rPr>
                <w:kern w:val="0"/>
                <w:szCs w:val="21"/>
              </w:rPr>
            </w:pPr>
            <w:r>
              <w:rPr>
                <w:rFonts w:hAnsiTheme="minorEastAsia"/>
                <w:kern w:val="0"/>
                <w:szCs w:val="21"/>
              </w:rPr>
              <w:t>　</w:t>
            </w:r>
          </w:p>
        </w:tc>
      </w:tr>
    </w:tbl>
    <w:p w14:paraId="6DD86865">
      <w:pPr>
        <w:spacing w:line="620" w:lineRule="exact"/>
        <w:rPr>
          <w:sz w:val="24"/>
        </w:rPr>
      </w:pPr>
      <w:r>
        <w:rPr>
          <w:rFonts w:hAnsiTheme="minorEastAsia"/>
          <w:sz w:val="24"/>
        </w:rPr>
        <w:t>注：</w:t>
      </w:r>
    </w:p>
    <w:p w14:paraId="1CB092E6">
      <w:pPr>
        <w:spacing w:line="360" w:lineRule="auto"/>
        <w:rPr>
          <w:sz w:val="24"/>
        </w:rPr>
      </w:pPr>
      <w:r>
        <w:rPr>
          <w:sz w:val="24"/>
        </w:rPr>
        <w:t xml:space="preserve">1. </w:t>
      </w:r>
      <w:r>
        <w:rPr>
          <w:rFonts w:hAnsiTheme="minorEastAsia"/>
          <w:sz w:val="24"/>
        </w:rPr>
        <w:t>不如实填写偏离情况的投标文件将视为虚假材料。</w:t>
      </w:r>
    </w:p>
    <w:p w14:paraId="599BDDEE">
      <w:pPr>
        <w:spacing w:line="360" w:lineRule="auto"/>
        <w:rPr>
          <w:sz w:val="24"/>
        </w:rPr>
      </w:pPr>
      <w:r>
        <w:rPr>
          <w:sz w:val="24"/>
        </w:rPr>
        <w:t xml:space="preserve">2. </w:t>
      </w:r>
      <w:r>
        <w:rPr>
          <w:rFonts w:hAnsiTheme="minorEastAsia"/>
          <w:sz w:val="24"/>
        </w:rPr>
        <w:t>招标要求指招标文件中规定的具体要求，投标应答指投标文件的具体内容。</w:t>
      </w:r>
    </w:p>
    <w:p w14:paraId="0F914332">
      <w:pPr>
        <w:spacing w:line="360" w:lineRule="auto"/>
        <w:rPr>
          <w:sz w:val="24"/>
        </w:rPr>
      </w:pPr>
      <w:r>
        <w:rPr>
          <w:sz w:val="24"/>
        </w:rPr>
        <w:t xml:space="preserve">3. </w:t>
      </w:r>
      <w:r>
        <w:rPr>
          <w:rFonts w:hAnsiTheme="minorEastAsia"/>
          <w:sz w:val="24"/>
        </w:rPr>
        <w:t>偏离说明指招标要求与投标应答之间的不同之处。</w:t>
      </w:r>
    </w:p>
    <w:p w14:paraId="24C3675D">
      <w:pPr>
        <w:autoSpaceDE w:val="0"/>
        <w:autoSpaceDN w:val="0"/>
        <w:adjustRightInd w:val="0"/>
        <w:spacing w:line="560" w:lineRule="exact"/>
        <w:jc w:val="left"/>
        <w:rPr>
          <w:kern w:val="0"/>
          <w:sz w:val="24"/>
        </w:rPr>
      </w:pPr>
    </w:p>
    <w:p w14:paraId="0004F0A7">
      <w:pPr>
        <w:autoSpaceDE w:val="0"/>
        <w:autoSpaceDN w:val="0"/>
        <w:adjustRightInd w:val="0"/>
        <w:spacing w:line="560" w:lineRule="exact"/>
        <w:jc w:val="left"/>
        <w:rPr>
          <w:kern w:val="0"/>
          <w:sz w:val="24"/>
        </w:rPr>
      </w:pPr>
    </w:p>
    <w:p w14:paraId="0824FC96">
      <w:pPr>
        <w:spacing w:line="360" w:lineRule="auto"/>
        <w:ind w:right="84" w:firstLine="224" w:firstLineChars="100"/>
        <w:rPr>
          <w:sz w:val="24"/>
        </w:rPr>
      </w:pPr>
      <w:r>
        <w:rPr>
          <w:rFonts w:hAnsiTheme="minorEastAsia"/>
          <w:sz w:val="24"/>
        </w:rPr>
        <w:t>投标人名称：</w:t>
      </w:r>
    </w:p>
    <w:p w14:paraId="4B9345F1">
      <w:pPr>
        <w:spacing w:line="360" w:lineRule="auto"/>
        <w:ind w:right="84" w:firstLine="224" w:firstLineChars="100"/>
        <w:rPr>
          <w:sz w:val="24"/>
        </w:rPr>
      </w:pPr>
    </w:p>
    <w:p w14:paraId="4641A922">
      <w:pPr>
        <w:spacing w:line="360" w:lineRule="auto"/>
        <w:ind w:right="84" w:firstLine="224" w:firstLineChars="100"/>
        <w:rPr>
          <w:position w:val="-40"/>
          <w:sz w:val="24"/>
        </w:rPr>
      </w:pPr>
      <w:r>
        <w:rPr>
          <w:rFonts w:hAnsiTheme="minorEastAsia"/>
          <w:sz w:val="24"/>
        </w:rPr>
        <w:t>日期：</w:t>
      </w:r>
    </w:p>
    <w:p w14:paraId="6C0B4E78">
      <w:pPr>
        <w:autoSpaceDE w:val="0"/>
        <w:autoSpaceDN w:val="0"/>
        <w:adjustRightInd w:val="0"/>
        <w:spacing w:line="560" w:lineRule="exact"/>
        <w:jc w:val="left"/>
        <w:rPr>
          <w:kern w:val="0"/>
          <w:sz w:val="24"/>
          <w:u w:val="single"/>
        </w:rPr>
      </w:pPr>
    </w:p>
    <w:p w14:paraId="68E63F7F">
      <w:pPr>
        <w:autoSpaceDE w:val="0"/>
        <w:autoSpaceDN w:val="0"/>
        <w:adjustRightInd w:val="0"/>
        <w:spacing w:line="560" w:lineRule="exact"/>
        <w:jc w:val="left"/>
        <w:rPr>
          <w:kern w:val="0"/>
          <w:sz w:val="24"/>
          <w:u w:val="single"/>
        </w:rPr>
      </w:pPr>
    </w:p>
    <w:p w14:paraId="057771EC">
      <w:pPr>
        <w:autoSpaceDE w:val="0"/>
        <w:autoSpaceDN w:val="0"/>
        <w:adjustRightInd w:val="0"/>
        <w:spacing w:line="560" w:lineRule="exact"/>
        <w:jc w:val="left"/>
        <w:rPr>
          <w:kern w:val="0"/>
          <w:sz w:val="24"/>
          <w:u w:val="single"/>
        </w:rPr>
      </w:pPr>
    </w:p>
    <w:p w14:paraId="47BAE85B">
      <w:pPr>
        <w:widowControl/>
        <w:jc w:val="left"/>
        <w:rPr>
          <w:b/>
          <w:sz w:val="24"/>
        </w:rPr>
      </w:pPr>
      <w:r>
        <w:rPr>
          <w:b/>
          <w:sz w:val="24"/>
        </w:rPr>
        <w:br w:type="page"/>
      </w:r>
    </w:p>
    <w:p w14:paraId="6DFBB9AC">
      <w:pPr>
        <w:spacing w:line="620" w:lineRule="exact"/>
        <w:rPr>
          <w:b/>
          <w:sz w:val="24"/>
        </w:rPr>
      </w:pPr>
      <w:r>
        <w:rPr>
          <w:rFonts w:hAnsiTheme="minorEastAsia"/>
          <w:b/>
          <w:sz w:val="24"/>
        </w:rPr>
        <w:t>附件</w:t>
      </w:r>
      <w:r>
        <w:rPr>
          <w:b/>
          <w:sz w:val="24"/>
        </w:rPr>
        <w:t>6</w:t>
      </w:r>
      <w:r>
        <w:rPr>
          <w:rFonts w:hint="eastAsia"/>
          <w:b/>
          <w:sz w:val="24"/>
        </w:rPr>
        <w:t>-1</w:t>
      </w:r>
    </w:p>
    <w:p w14:paraId="77D20858">
      <w:pPr>
        <w:autoSpaceDN w:val="0"/>
        <w:spacing w:line="360" w:lineRule="auto"/>
        <w:jc w:val="center"/>
        <w:rPr>
          <w:b/>
          <w:bCs/>
          <w:sz w:val="24"/>
        </w:rPr>
      </w:pPr>
      <w:r>
        <w:rPr>
          <w:rFonts w:hAnsiTheme="minorEastAsia"/>
          <w:b/>
          <w:bCs/>
          <w:sz w:val="24"/>
        </w:rPr>
        <w:t>技术要求点对点应答表</w:t>
      </w:r>
    </w:p>
    <w:p w14:paraId="0AA22250">
      <w:pPr>
        <w:spacing w:line="460" w:lineRule="exact"/>
        <w:rPr>
          <w:sz w:val="24"/>
        </w:rPr>
      </w:pPr>
      <w:r>
        <w:rPr>
          <w:rFonts w:hAnsiTheme="minorEastAsia"/>
          <w:sz w:val="24"/>
        </w:rPr>
        <w:t>项目名称：</w:t>
      </w:r>
    </w:p>
    <w:p w14:paraId="763D5D5A">
      <w:pPr>
        <w:spacing w:line="460" w:lineRule="exact"/>
        <w:rPr>
          <w:sz w:val="24"/>
        </w:rPr>
      </w:pPr>
      <w:r>
        <w:rPr>
          <w:rFonts w:hAnsiTheme="minorEastAsia"/>
          <w:sz w:val="24"/>
        </w:rPr>
        <w:t>项目编号：</w:t>
      </w:r>
    </w:p>
    <w:p w14:paraId="6E5F1A2D">
      <w:pPr>
        <w:spacing w:line="460" w:lineRule="exact"/>
        <w:rPr>
          <w:sz w:val="24"/>
          <w:u w:val="single"/>
        </w:rPr>
      </w:pPr>
      <w:r>
        <w:rPr>
          <w:rFonts w:hAnsiTheme="minorEastAsia"/>
          <w:sz w:val="24"/>
        </w:rPr>
        <w:t>包号：</w:t>
      </w:r>
    </w:p>
    <w:tbl>
      <w:tblPr>
        <w:tblStyle w:val="20"/>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27FE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74B06D95">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14:paraId="504F4ABA">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14:paraId="13E13B2D">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14:paraId="09DB73D8">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14:paraId="494AC6BC">
            <w:pPr>
              <w:widowControl/>
              <w:snapToGrid w:val="0"/>
              <w:jc w:val="center"/>
              <w:rPr>
                <w:kern w:val="0"/>
                <w:sz w:val="24"/>
                <w:szCs w:val="21"/>
              </w:rPr>
            </w:pPr>
            <w:r>
              <w:rPr>
                <w:rFonts w:hAnsiTheme="minorEastAsia"/>
                <w:kern w:val="0"/>
                <w:sz w:val="24"/>
                <w:szCs w:val="21"/>
              </w:rPr>
              <w:t>备注</w:t>
            </w:r>
          </w:p>
        </w:tc>
      </w:tr>
      <w:tr w14:paraId="5B19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A436420">
            <w:pPr>
              <w:widowControl/>
              <w:snapToGrid w:val="0"/>
              <w:jc w:val="center"/>
              <w:rPr>
                <w:kern w:val="0"/>
                <w:sz w:val="24"/>
                <w:szCs w:val="21"/>
              </w:rPr>
            </w:pPr>
            <w:r>
              <w:rPr>
                <w:kern w:val="0"/>
                <w:sz w:val="24"/>
                <w:szCs w:val="21"/>
              </w:rPr>
              <w:t>1</w:t>
            </w:r>
          </w:p>
        </w:tc>
        <w:tc>
          <w:tcPr>
            <w:tcW w:w="4630" w:type="dxa"/>
            <w:shd w:val="clear" w:color="auto" w:fill="auto"/>
            <w:vAlign w:val="center"/>
          </w:tcPr>
          <w:p w14:paraId="77E56B5D">
            <w:pPr>
              <w:widowControl/>
              <w:snapToGrid w:val="0"/>
              <w:jc w:val="left"/>
              <w:rPr>
                <w:kern w:val="0"/>
                <w:sz w:val="24"/>
                <w:szCs w:val="21"/>
              </w:rPr>
            </w:pPr>
            <w:r>
              <w:rPr>
                <w:rFonts w:hint="eastAsia" w:hAnsiTheme="minorEastAsia"/>
                <w:sz w:val="24"/>
              </w:rPr>
              <w:t>★</w:t>
            </w:r>
            <w:r>
              <w:rPr>
                <w:rFonts w:hAnsiTheme="minorEastAsia"/>
                <w:kern w:val="0"/>
                <w:sz w:val="24"/>
                <w:szCs w:val="21"/>
              </w:rPr>
              <w:t>（一）</w:t>
            </w:r>
            <w:r>
              <w:rPr>
                <w:rFonts w:hAnsiTheme="minorEastAsia"/>
                <w:sz w:val="24"/>
              </w:rPr>
              <w:t>投标人须承诺所提供的服务、人员</w:t>
            </w:r>
            <w:r>
              <w:rPr>
                <w:rFonts w:hint="eastAsia" w:hAnsiTheme="minorEastAsia"/>
                <w:sz w:val="24"/>
              </w:rPr>
              <w:t>、</w:t>
            </w:r>
            <w:r>
              <w:rPr>
                <w:rFonts w:hAnsiTheme="minorEastAsia"/>
                <w:sz w:val="24"/>
              </w:rPr>
              <w:t>设备</w:t>
            </w:r>
            <w:r>
              <w:rPr>
                <w:rFonts w:hint="eastAsia" w:hAnsiTheme="minorEastAsia"/>
                <w:sz w:val="24"/>
              </w:rPr>
              <w:t>及耗材等均</w:t>
            </w:r>
            <w:r>
              <w:rPr>
                <w:rFonts w:hAnsiTheme="minorEastAsia"/>
                <w:sz w:val="24"/>
              </w:rPr>
              <w:t>符合相关强制性规定。</w:t>
            </w:r>
          </w:p>
        </w:tc>
        <w:tc>
          <w:tcPr>
            <w:tcW w:w="2438" w:type="dxa"/>
            <w:shd w:val="clear" w:color="auto" w:fill="auto"/>
            <w:vAlign w:val="center"/>
          </w:tcPr>
          <w:p w14:paraId="63B42472">
            <w:pPr>
              <w:widowControl/>
              <w:snapToGrid w:val="0"/>
              <w:jc w:val="center"/>
              <w:rPr>
                <w:kern w:val="0"/>
                <w:sz w:val="24"/>
                <w:szCs w:val="21"/>
              </w:rPr>
            </w:pPr>
          </w:p>
        </w:tc>
        <w:tc>
          <w:tcPr>
            <w:tcW w:w="1289" w:type="dxa"/>
            <w:shd w:val="clear" w:color="auto" w:fill="auto"/>
            <w:vAlign w:val="center"/>
          </w:tcPr>
          <w:p w14:paraId="3A6175BD">
            <w:pPr>
              <w:widowControl/>
              <w:snapToGrid w:val="0"/>
              <w:jc w:val="center"/>
              <w:rPr>
                <w:kern w:val="0"/>
                <w:sz w:val="24"/>
                <w:szCs w:val="21"/>
              </w:rPr>
            </w:pPr>
          </w:p>
        </w:tc>
        <w:tc>
          <w:tcPr>
            <w:tcW w:w="843" w:type="dxa"/>
            <w:shd w:val="clear" w:color="auto" w:fill="auto"/>
            <w:vAlign w:val="center"/>
          </w:tcPr>
          <w:p w14:paraId="471562F6">
            <w:pPr>
              <w:widowControl/>
              <w:snapToGrid w:val="0"/>
              <w:jc w:val="center"/>
              <w:rPr>
                <w:kern w:val="0"/>
                <w:sz w:val="24"/>
                <w:szCs w:val="21"/>
              </w:rPr>
            </w:pPr>
          </w:p>
        </w:tc>
      </w:tr>
      <w:tr w14:paraId="7D672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6B6E820">
            <w:pPr>
              <w:widowControl/>
              <w:snapToGrid w:val="0"/>
              <w:jc w:val="center"/>
              <w:rPr>
                <w:kern w:val="0"/>
                <w:sz w:val="24"/>
                <w:szCs w:val="21"/>
              </w:rPr>
            </w:pPr>
            <w:r>
              <w:rPr>
                <w:kern w:val="0"/>
                <w:sz w:val="24"/>
                <w:szCs w:val="21"/>
              </w:rPr>
              <w:t>2</w:t>
            </w:r>
          </w:p>
        </w:tc>
        <w:tc>
          <w:tcPr>
            <w:tcW w:w="4630" w:type="dxa"/>
            <w:shd w:val="clear" w:color="auto" w:fill="auto"/>
            <w:vAlign w:val="center"/>
          </w:tcPr>
          <w:p w14:paraId="18C1ADF9">
            <w:pPr>
              <w:widowControl/>
              <w:snapToGrid w:val="0"/>
              <w:jc w:val="left"/>
              <w:rPr>
                <w:kern w:val="0"/>
                <w:sz w:val="24"/>
                <w:szCs w:val="21"/>
              </w:rPr>
            </w:pPr>
            <w:r>
              <w:rPr>
                <w:rFonts w:hint="eastAsia" w:hAnsiTheme="minorEastAsia"/>
                <w:sz w:val="24"/>
              </w:rPr>
              <w:t>★</w:t>
            </w:r>
            <w:r>
              <w:rPr>
                <w:rFonts w:hAnsiTheme="minorEastAsia"/>
                <w:sz w:val="24"/>
              </w:rPr>
              <w:t>（二）投标人须承诺</w:t>
            </w:r>
            <w:r>
              <w:rPr>
                <w:rFonts w:hint="eastAsia" w:hAnsiTheme="minorEastAsia"/>
                <w:sz w:val="24"/>
              </w:rPr>
              <w:t>一旦中标，</w:t>
            </w:r>
            <w:r>
              <w:rPr>
                <w:rFonts w:hAnsiTheme="minorEastAsia"/>
                <w:color w:val="000000"/>
                <w:sz w:val="24"/>
              </w:rPr>
              <w:t>根据《中华人民共和国劳动合同法》及其他法律法规的要求与服务人员签订</w:t>
            </w:r>
            <w:r>
              <w:rPr>
                <w:rFonts w:hint="eastAsia" w:hAnsiTheme="minorEastAsia"/>
                <w:color w:val="000000"/>
                <w:sz w:val="24"/>
              </w:rPr>
              <w:t>劳动</w:t>
            </w:r>
            <w:r>
              <w:rPr>
                <w:rFonts w:hAnsiTheme="minorEastAsia"/>
                <w:color w:val="000000"/>
                <w:sz w:val="24"/>
              </w:rPr>
              <w:t>合同</w:t>
            </w:r>
            <w:r>
              <w:rPr>
                <w:rFonts w:hint="eastAsia" w:hAnsiTheme="minorEastAsia"/>
                <w:color w:val="000000"/>
                <w:sz w:val="24"/>
              </w:rPr>
              <w:t>，按国家及天津市相关政策规定，支付工资、加班费和福利费、</w:t>
            </w:r>
            <w:r>
              <w:rPr>
                <w:rFonts w:hAnsiTheme="minorEastAsia"/>
                <w:color w:val="000000"/>
                <w:sz w:val="24"/>
              </w:rPr>
              <w:t>缴纳社会保险</w:t>
            </w:r>
            <w:r>
              <w:rPr>
                <w:rFonts w:hint="eastAsia" w:hAnsiTheme="minorEastAsia"/>
                <w:color w:val="000000"/>
                <w:sz w:val="24"/>
              </w:rPr>
              <w:t>及住房公积金等</w:t>
            </w:r>
            <w:r>
              <w:rPr>
                <w:rFonts w:hAnsiTheme="minorEastAsia"/>
                <w:color w:val="000000"/>
                <w:sz w:val="24"/>
              </w:rPr>
              <w:t>。</w:t>
            </w:r>
          </w:p>
        </w:tc>
        <w:tc>
          <w:tcPr>
            <w:tcW w:w="2438" w:type="dxa"/>
            <w:shd w:val="clear" w:color="auto" w:fill="auto"/>
            <w:vAlign w:val="center"/>
          </w:tcPr>
          <w:p w14:paraId="171DFBEC">
            <w:pPr>
              <w:widowControl/>
              <w:snapToGrid w:val="0"/>
              <w:jc w:val="center"/>
              <w:rPr>
                <w:kern w:val="0"/>
                <w:sz w:val="24"/>
                <w:szCs w:val="21"/>
              </w:rPr>
            </w:pPr>
          </w:p>
        </w:tc>
        <w:tc>
          <w:tcPr>
            <w:tcW w:w="1289" w:type="dxa"/>
            <w:shd w:val="clear" w:color="auto" w:fill="auto"/>
            <w:vAlign w:val="center"/>
          </w:tcPr>
          <w:p w14:paraId="553B11C0">
            <w:pPr>
              <w:widowControl/>
              <w:snapToGrid w:val="0"/>
              <w:jc w:val="center"/>
              <w:rPr>
                <w:kern w:val="0"/>
                <w:sz w:val="24"/>
                <w:szCs w:val="21"/>
              </w:rPr>
            </w:pPr>
          </w:p>
        </w:tc>
        <w:tc>
          <w:tcPr>
            <w:tcW w:w="843" w:type="dxa"/>
            <w:shd w:val="clear" w:color="auto" w:fill="auto"/>
            <w:vAlign w:val="center"/>
          </w:tcPr>
          <w:p w14:paraId="7D2E427A">
            <w:pPr>
              <w:widowControl/>
              <w:snapToGrid w:val="0"/>
              <w:jc w:val="center"/>
              <w:rPr>
                <w:kern w:val="0"/>
                <w:sz w:val="24"/>
                <w:szCs w:val="21"/>
              </w:rPr>
            </w:pPr>
          </w:p>
        </w:tc>
      </w:tr>
      <w:tr w14:paraId="3B28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71F4E71">
            <w:pPr>
              <w:widowControl/>
              <w:snapToGrid w:val="0"/>
              <w:jc w:val="center"/>
              <w:rPr>
                <w:kern w:val="0"/>
                <w:sz w:val="24"/>
                <w:szCs w:val="21"/>
              </w:rPr>
            </w:pPr>
            <w:r>
              <w:rPr>
                <w:kern w:val="0"/>
                <w:sz w:val="24"/>
                <w:szCs w:val="21"/>
              </w:rPr>
              <w:t>3</w:t>
            </w:r>
          </w:p>
        </w:tc>
        <w:tc>
          <w:tcPr>
            <w:tcW w:w="4630" w:type="dxa"/>
            <w:shd w:val="clear" w:color="auto" w:fill="auto"/>
            <w:vAlign w:val="center"/>
          </w:tcPr>
          <w:p w14:paraId="6124BF6A">
            <w:pPr>
              <w:widowControl/>
              <w:snapToGrid w:val="0"/>
              <w:jc w:val="left"/>
              <w:rPr>
                <w:kern w:val="0"/>
                <w:sz w:val="24"/>
                <w:szCs w:val="21"/>
              </w:rPr>
            </w:pPr>
            <w:r>
              <w:rPr>
                <w:rFonts w:hint="eastAsia" w:hAnsiTheme="minorEastAsia"/>
                <w:sz w:val="24"/>
              </w:rPr>
              <w:t>★</w:t>
            </w:r>
            <w:r>
              <w:rPr>
                <w:rFonts w:hAnsiTheme="minorEastAsia"/>
                <w:sz w:val="24"/>
              </w:rPr>
              <w:t>（三）投标人须承诺</w:t>
            </w:r>
            <w:r>
              <w:rPr>
                <w:rFonts w:hint="eastAsia" w:hAnsiTheme="minorEastAsia"/>
                <w:color w:val="000000"/>
                <w:sz w:val="24"/>
              </w:rPr>
              <w:t>相应专业</w:t>
            </w:r>
            <w:r>
              <w:rPr>
                <w:rFonts w:hAnsiTheme="minorEastAsia"/>
                <w:color w:val="000000"/>
                <w:sz w:val="24"/>
              </w:rPr>
              <w:t>人员须具备国家相关部门颁发的在有效期内的资质证书，项目实施过程中保证持证上岗。</w:t>
            </w:r>
          </w:p>
        </w:tc>
        <w:tc>
          <w:tcPr>
            <w:tcW w:w="2438" w:type="dxa"/>
            <w:shd w:val="clear" w:color="auto" w:fill="auto"/>
            <w:vAlign w:val="center"/>
          </w:tcPr>
          <w:p w14:paraId="70BCCCA4">
            <w:pPr>
              <w:widowControl/>
              <w:snapToGrid w:val="0"/>
              <w:jc w:val="center"/>
              <w:rPr>
                <w:kern w:val="0"/>
                <w:sz w:val="24"/>
                <w:szCs w:val="21"/>
              </w:rPr>
            </w:pPr>
          </w:p>
        </w:tc>
        <w:tc>
          <w:tcPr>
            <w:tcW w:w="1289" w:type="dxa"/>
            <w:shd w:val="clear" w:color="auto" w:fill="auto"/>
            <w:vAlign w:val="center"/>
          </w:tcPr>
          <w:p w14:paraId="21826D96">
            <w:pPr>
              <w:widowControl/>
              <w:snapToGrid w:val="0"/>
              <w:jc w:val="center"/>
              <w:rPr>
                <w:kern w:val="0"/>
                <w:sz w:val="24"/>
                <w:szCs w:val="21"/>
              </w:rPr>
            </w:pPr>
          </w:p>
        </w:tc>
        <w:tc>
          <w:tcPr>
            <w:tcW w:w="843" w:type="dxa"/>
            <w:shd w:val="clear" w:color="auto" w:fill="auto"/>
            <w:vAlign w:val="center"/>
          </w:tcPr>
          <w:p w14:paraId="0615D2D5">
            <w:pPr>
              <w:widowControl/>
              <w:snapToGrid w:val="0"/>
              <w:jc w:val="center"/>
              <w:rPr>
                <w:kern w:val="0"/>
                <w:sz w:val="24"/>
                <w:szCs w:val="21"/>
              </w:rPr>
            </w:pPr>
          </w:p>
        </w:tc>
      </w:tr>
      <w:tr w14:paraId="6E70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476D0C8B">
            <w:pPr>
              <w:widowControl/>
              <w:snapToGrid w:val="0"/>
              <w:ind w:firstLine="224" w:firstLineChars="100"/>
              <w:rPr>
                <w:kern w:val="0"/>
                <w:sz w:val="24"/>
                <w:szCs w:val="21"/>
              </w:rPr>
            </w:pPr>
            <w:r>
              <w:rPr>
                <w:kern w:val="0"/>
                <w:sz w:val="24"/>
                <w:szCs w:val="21"/>
              </w:rPr>
              <w:t xml:space="preserve">4. </w:t>
            </w:r>
            <w:r>
              <w:rPr>
                <w:rFonts w:hAnsiTheme="minorEastAsia"/>
                <w:kern w:val="0"/>
                <w:sz w:val="24"/>
                <w:szCs w:val="21"/>
              </w:rPr>
              <w:t>项目需求书要求</w:t>
            </w:r>
          </w:p>
        </w:tc>
      </w:tr>
      <w:tr w14:paraId="1F79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CFDD095">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14:paraId="009764ED">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14:paraId="659E75F6">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14:paraId="2A60DD76">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14:paraId="7E14FDB5">
            <w:pPr>
              <w:widowControl/>
              <w:snapToGrid w:val="0"/>
              <w:jc w:val="center"/>
              <w:rPr>
                <w:kern w:val="0"/>
                <w:sz w:val="24"/>
                <w:szCs w:val="21"/>
              </w:rPr>
            </w:pPr>
            <w:r>
              <w:rPr>
                <w:rFonts w:hAnsiTheme="minorEastAsia"/>
                <w:kern w:val="0"/>
                <w:sz w:val="24"/>
                <w:szCs w:val="21"/>
              </w:rPr>
              <w:t>备注</w:t>
            </w:r>
          </w:p>
        </w:tc>
      </w:tr>
      <w:tr w14:paraId="4FDD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ECFFF86">
            <w:pPr>
              <w:widowControl/>
              <w:snapToGrid w:val="0"/>
              <w:jc w:val="center"/>
              <w:rPr>
                <w:kern w:val="0"/>
                <w:sz w:val="24"/>
                <w:szCs w:val="21"/>
              </w:rPr>
            </w:pPr>
          </w:p>
        </w:tc>
        <w:tc>
          <w:tcPr>
            <w:tcW w:w="4630" w:type="dxa"/>
            <w:shd w:val="clear" w:color="auto" w:fill="auto"/>
            <w:vAlign w:val="center"/>
          </w:tcPr>
          <w:p w14:paraId="6A38DDBE">
            <w:pPr>
              <w:widowControl/>
              <w:snapToGrid w:val="0"/>
              <w:jc w:val="center"/>
              <w:rPr>
                <w:kern w:val="0"/>
                <w:sz w:val="24"/>
                <w:szCs w:val="21"/>
              </w:rPr>
            </w:pPr>
          </w:p>
        </w:tc>
        <w:tc>
          <w:tcPr>
            <w:tcW w:w="2438" w:type="dxa"/>
            <w:shd w:val="clear" w:color="auto" w:fill="auto"/>
            <w:vAlign w:val="center"/>
          </w:tcPr>
          <w:p w14:paraId="30848323">
            <w:pPr>
              <w:widowControl/>
              <w:snapToGrid w:val="0"/>
              <w:jc w:val="center"/>
              <w:rPr>
                <w:kern w:val="0"/>
                <w:sz w:val="24"/>
                <w:szCs w:val="21"/>
              </w:rPr>
            </w:pPr>
          </w:p>
        </w:tc>
        <w:tc>
          <w:tcPr>
            <w:tcW w:w="1289" w:type="dxa"/>
            <w:shd w:val="clear" w:color="auto" w:fill="auto"/>
            <w:vAlign w:val="center"/>
          </w:tcPr>
          <w:p w14:paraId="57FD5A94">
            <w:pPr>
              <w:widowControl/>
              <w:snapToGrid w:val="0"/>
              <w:jc w:val="center"/>
              <w:rPr>
                <w:kern w:val="0"/>
                <w:sz w:val="24"/>
                <w:szCs w:val="21"/>
              </w:rPr>
            </w:pPr>
          </w:p>
        </w:tc>
        <w:tc>
          <w:tcPr>
            <w:tcW w:w="843" w:type="dxa"/>
            <w:shd w:val="clear" w:color="auto" w:fill="auto"/>
            <w:vAlign w:val="center"/>
          </w:tcPr>
          <w:p w14:paraId="14B1CF85">
            <w:pPr>
              <w:widowControl/>
              <w:snapToGrid w:val="0"/>
              <w:jc w:val="center"/>
              <w:rPr>
                <w:kern w:val="0"/>
                <w:sz w:val="24"/>
                <w:szCs w:val="21"/>
              </w:rPr>
            </w:pPr>
          </w:p>
        </w:tc>
      </w:tr>
      <w:tr w14:paraId="55F7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DAC2818">
            <w:pPr>
              <w:widowControl/>
              <w:snapToGrid w:val="0"/>
              <w:jc w:val="center"/>
              <w:rPr>
                <w:kern w:val="0"/>
                <w:sz w:val="24"/>
                <w:szCs w:val="21"/>
              </w:rPr>
            </w:pPr>
          </w:p>
        </w:tc>
        <w:tc>
          <w:tcPr>
            <w:tcW w:w="4630" w:type="dxa"/>
            <w:shd w:val="clear" w:color="auto" w:fill="auto"/>
            <w:vAlign w:val="center"/>
          </w:tcPr>
          <w:p w14:paraId="3D5082D0">
            <w:pPr>
              <w:widowControl/>
              <w:snapToGrid w:val="0"/>
              <w:jc w:val="center"/>
              <w:rPr>
                <w:kern w:val="0"/>
                <w:sz w:val="24"/>
                <w:szCs w:val="21"/>
              </w:rPr>
            </w:pPr>
          </w:p>
        </w:tc>
        <w:tc>
          <w:tcPr>
            <w:tcW w:w="2438" w:type="dxa"/>
            <w:shd w:val="clear" w:color="auto" w:fill="auto"/>
            <w:vAlign w:val="center"/>
          </w:tcPr>
          <w:p w14:paraId="29D7D222">
            <w:pPr>
              <w:widowControl/>
              <w:snapToGrid w:val="0"/>
              <w:jc w:val="center"/>
              <w:rPr>
                <w:kern w:val="0"/>
                <w:sz w:val="24"/>
                <w:szCs w:val="21"/>
              </w:rPr>
            </w:pPr>
          </w:p>
        </w:tc>
        <w:tc>
          <w:tcPr>
            <w:tcW w:w="1289" w:type="dxa"/>
            <w:shd w:val="clear" w:color="auto" w:fill="auto"/>
            <w:vAlign w:val="center"/>
          </w:tcPr>
          <w:p w14:paraId="03392B4B">
            <w:pPr>
              <w:widowControl/>
              <w:snapToGrid w:val="0"/>
              <w:jc w:val="center"/>
              <w:rPr>
                <w:kern w:val="0"/>
                <w:sz w:val="24"/>
                <w:szCs w:val="21"/>
              </w:rPr>
            </w:pPr>
          </w:p>
        </w:tc>
        <w:tc>
          <w:tcPr>
            <w:tcW w:w="843" w:type="dxa"/>
            <w:shd w:val="clear" w:color="auto" w:fill="auto"/>
            <w:vAlign w:val="center"/>
          </w:tcPr>
          <w:p w14:paraId="6DC221EB">
            <w:pPr>
              <w:widowControl/>
              <w:snapToGrid w:val="0"/>
              <w:jc w:val="center"/>
              <w:rPr>
                <w:kern w:val="0"/>
                <w:sz w:val="24"/>
                <w:szCs w:val="21"/>
              </w:rPr>
            </w:pPr>
          </w:p>
        </w:tc>
      </w:tr>
      <w:tr w14:paraId="26E7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CE65ECD">
            <w:pPr>
              <w:widowControl/>
              <w:snapToGrid w:val="0"/>
              <w:jc w:val="center"/>
              <w:rPr>
                <w:kern w:val="0"/>
                <w:sz w:val="24"/>
                <w:szCs w:val="21"/>
              </w:rPr>
            </w:pPr>
          </w:p>
        </w:tc>
        <w:tc>
          <w:tcPr>
            <w:tcW w:w="4630" w:type="dxa"/>
            <w:shd w:val="clear" w:color="auto" w:fill="auto"/>
            <w:vAlign w:val="center"/>
          </w:tcPr>
          <w:p w14:paraId="6682D1F6">
            <w:pPr>
              <w:widowControl/>
              <w:snapToGrid w:val="0"/>
              <w:jc w:val="center"/>
              <w:rPr>
                <w:kern w:val="0"/>
                <w:sz w:val="24"/>
                <w:szCs w:val="21"/>
              </w:rPr>
            </w:pPr>
          </w:p>
        </w:tc>
        <w:tc>
          <w:tcPr>
            <w:tcW w:w="2438" w:type="dxa"/>
            <w:shd w:val="clear" w:color="auto" w:fill="auto"/>
            <w:vAlign w:val="center"/>
          </w:tcPr>
          <w:p w14:paraId="64E2DF4A">
            <w:pPr>
              <w:widowControl/>
              <w:snapToGrid w:val="0"/>
              <w:jc w:val="center"/>
              <w:rPr>
                <w:kern w:val="0"/>
                <w:sz w:val="24"/>
                <w:szCs w:val="21"/>
              </w:rPr>
            </w:pPr>
          </w:p>
        </w:tc>
        <w:tc>
          <w:tcPr>
            <w:tcW w:w="1289" w:type="dxa"/>
            <w:shd w:val="clear" w:color="auto" w:fill="auto"/>
            <w:vAlign w:val="center"/>
          </w:tcPr>
          <w:p w14:paraId="50D9BC3C">
            <w:pPr>
              <w:widowControl/>
              <w:snapToGrid w:val="0"/>
              <w:jc w:val="center"/>
              <w:rPr>
                <w:kern w:val="0"/>
                <w:sz w:val="24"/>
                <w:szCs w:val="21"/>
              </w:rPr>
            </w:pPr>
          </w:p>
        </w:tc>
        <w:tc>
          <w:tcPr>
            <w:tcW w:w="843" w:type="dxa"/>
            <w:shd w:val="clear" w:color="auto" w:fill="auto"/>
            <w:vAlign w:val="center"/>
          </w:tcPr>
          <w:p w14:paraId="48C651C8">
            <w:pPr>
              <w:widowControl/>
              <w:snapToGrid w:val="0"/>
              <w:jc w:val="center"/>
              <w:rPr>
                <w:kern w:val="0"/>
                <w:sz w:val="24"/>
                <w:szCs w:val="21"/>
              </w:rPr>
            </w:pPr>
          </w:p>
        </w:tc>
      </w:tr>
      <w:tr w14:paraId="3854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9288050">
            <w:pPr>
              <w:widowControl/>
              <w:snapToGrid w:val="0"/>
              <w:jc w:val="center"/>
              <w:rPr>
                <w:kern w:val="0"/>
                <w:sz w:val="24"/>
                <w:szCs w:val="21"/>
              </w:rPr>
            </w:pPr>
          </w:p>
        </w:tc>
        <w:tc>
          <w:tcPr>
            <w:tcW w:w="4630" w:type="dxa"/>
            <w:shd w:val="clear" w:color="auto" w:fill="auto"/>
            <w:vAlign w:val="center"/>
          </w:tcPr>
          <w:p w14:paraId="101F4920">
            <w:pPr>
              <w:widowControl/>
              <w:snapToGrid w:val="0"/>
              <w:jc w:val="center"/>
              <w:rPr>
                <w:kern w:val="0"/>
                <w:sz w:val="24"/>
                <w:szCs w:val="21"/>
              </w:rPr>
            </w:pPr>
          </w:p>
        </w:tc>
        <w:tc>
          <w:tcPr>
            <w:tcW w:w="2438" w:type="dxa"/>
            <w:shd w:val="clear" w:color="auto" w:fill="auto"/>
            <w:vAlign w:val="center"/>
          </w:tcPr>
          <w:p w14:paraId="4CF91DDF">
            <w:pPr>
              <w:widowControl/>
              <w:snapToGrid w:val="0"/>
              <w:jc w:val="center"/>
              <w:rPr>
                <w:kern w:val="0"/>
                <w:sz w:val="24"/>
                <w:szCs w:val="21"/>
              </w:rPr>
            </w:pPr>
          </w:p>
        </w:tc>
        <w:tc>
          <w:tcPr>
            <w:tcW w:w="1289" w:type="dxa"/>
            <w:shd w:val="clear" w:color="auto" w:fill="auto"/>
            <w:vAlign w:val="center"/>
          </w:tcPr>
          <w:p w14:paraId="309B6EB6">
            <w:pPr>
              <w:widowControl/>
              <w:snapToGrid w:val="0"/>
              <w:jc w:val="center"/>
              <w:rPr>
                <w:kern w:val="0"/>
                <w:sz w:val="24"/>
                <w:szCs w:val="21"/>
              </w:rPr>
            </w:pPr>
          </w:p>
        </w:tc>
        <w:tc>
          <w:tcPr>
            <w:tcW w:w="843" w:type="dxa"/>
            <w:shd w:val="clear" w:color="auto" w:fill="auto"/>
            <w:vAlign w:val="center"/>
          </w:tcPr>
          <w:p w14:paraId="43884165">
            <w:pPr>
              <w:widowControl/>
              <w:snapToGrid w:val="0"/>
              <w:jc w:val="center"/>
              <w:rPr>
                <w:kern w:val="0"/>
                <w:sz w:val="24"/>
                <w:szCs w:val="21"/>
              </w:rPr>
            </w:pPr>
          </w:p>
        </w:tc>
      </w:tr>
      <w:tr w14:paraId="7B88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317A1F0">
            <w:pPr>
              <w:widowControl/>
              <w:snapToGrid w:val="0"/>
              <w:jc w:val="center"/>
              <w:rPr>
                <w:kern w:val="0"/>
                <w:sz w:val="24"/>
                <w:szCs w:val="21"/>
              </w:rPr>
            </w:pPr>
          </w:p>
        </w:tc>
        <w:tc>
          <w:tcPr>
            <w:tcW w:w="4630" w:type="dxa"/>
            <w:shd w:val="clear" w:color="auto" w:fill="auto"/>
            <w:vAlign w:val="center"/>
          </w:tcPr>
          <w:p w14:paraId="7002BCE4">
            <w:pPr>
              <w:widowControl/>
              <w:snapToGrid w:val="0"/>
              <w:jc w:val="center"/>
              <w:rPr>
                <w:kern w:val="0"/>
                <w:sz w:val="24"/>
                <w:szCs w:val="21"/>
              </w:rPr>
            </w:pPr>
          </w:p>
        </w:tc>
        <w:tc>
          <w:tcPr>
            <w:tcW w:w="2438" w:type="dxa"/>
            <w:shd w:val="clear" w:color="auto" w:fill="auto"/>
            <w:vAlign w:val="center"/>
          </w:tcPr>
          <w:p w14:paraId="115220A3">
            <w:pPr>
              <w:widowControl/>
              <w:snapToGrid w:val="0"/>
              <w:jc w:val="center"/>
              <w:rPr>
                <w:kern w:val="0"/>
                <w:sz w:val="24"/>
                <w:szCs w:val="21"/>
              </w:rPr>
            </w:pPr>
          </w:p>
        </w:tc>
        <w:tc>
          <w:tcPr>
            <w:tcW w:w="1289" w:type="dxa"/>
            <w:shd w:val="clear" w:color="auto" w:fill="auto"/>
            <w:vAlign w:val="center"/>
          </w:tcPr>
          <w:p w14:paraId="25B17F2E">
            <w:pPr>
              <w:widowControl/>
              <w:snapToGrid w:val="0"/>
              <w:jc w:val="center"/>
              <w:rPr>
                <w:kern w:val="0"/>
                <w:sz w:val="24"/>
                <w:szCs w:val="21"/>
              </w:rPr>
            </w:pPr>
          </w:p>
        </w:tc>
        <w:tc>
          <w:tcPr>
            <w:tcW w:w="843" w:type="dxa"/>
            <w:shd w:val="clear" w:color="auto" w:fill="auto"/>
            <w:vAlign w:val="center"/>
          </w:tcPr>
          <w:p w14:paraId="550E7A77">
            <w:pPr>
              <w:widowControl/>
              <w:snapToGrid w:val="0"/>
              <w:jc w:val="center"/>
              <w:rPr>
                <w:kern w:val="0"/>
                <w:sz w:val="24"/>
                <w:szCs w:val="21"/>
              </w:rPr>
            </w:pPr>
          </w:p>
        </w:tc>
      </w:tr>
    </w:tbl>
    <w:p w14:paraId="68548892">
      <w:pPr>
        <w:spacing w:line="620" w:lineRule="exact"/>
        <w:rPr>
          <w:sz w:val="24"/>
        </w:rPr>
      </w:pPr>
      <w:r>
        <w:rPr>
          <w:rFonts w:hAnsiTheme="minorEastAsia"/>
          <w:sz w:val="24"/>
        </w:rPr>
        <w:t>注：</w:t>
      </w:r>
    </w:p>
    <w:p w14:paraId="7892083E">
      <w:pPr>
        <w:spacing w:line="360" w:lineRule="auto"/>
        <w:rPr>
          <w:sz w:val="24"/>
        </w:rPr>
      </w:pPr>
      <w:r>
        <w:rPr>
          <w:sz w:val="24"/>
        </w:rPr>
        <w:t xml:space="preserve">1. </w:t>
      </w:r>
      <w:r>
        <w:rPr>
          <w:rFonts w:hAnsiTheme="minorEastAsia"/>
          <w:sz w:val="24"/>
        </w:rPr>
        <w:t>不如实填写偏离情况的投标文件将视为虚假材料。</w:t>
      </w:r>
    </w:p>
    <w:p w14:paraId="6214D2CC">
      <w:pPr>
        <w:spacing w:line="360" w:lineRule="auto"/>
        <w:rPr>
          <w:sz w:val="24"/>
        </w:rPr>
      </w:pPr>
      <w:r>
        <w:rPr>
          <w:sz w:val="24"/>
        </w:rPr>
        <w:t xml:space="preserve">2. </w:t>
      </w:r>
      <w:r>
        <w:rPr>
          <w:rFonts w:hAnsiTheme="minorEastAsia"/>
          <w:sz w:val="24"/>
        </w:rPr>
        <w:t>招标要求指招标文件中规定的具体要求，投标应答指投标文件的具体内容。</w:t>
      </w:r>
    </w:p>
    <w:p w14:paraId="33D942F4">
      <w:pPr>
        <w:spacing w:line="360" w:lineRule="auto"/>
        <w:rPr>
          <w:sz w:val="24"/>
        </w:rPr>
      </w:pPr>
      <w:r>
        <w:rPr>
          <w:sz w:val="24"/>
        </w:rPr>
        <w:t xml:space="preserve">3. </w:t>
      </w:r>
      <w:r>
        <w:rPr>
          <w:rFonts w:hAnsiTheme="minorEastAsia"/>
          <w:sz w:val="24"/>
        </w:rPr>
        <w:t>偏离说明指招标要求与投标应答之间的不同之处。</w:t>
      </w:r>
    </w:p>
    <w:p w14:paraId="2D5DD667">
      <w:pPr>
        <w:spacing w:line="360" w:lineRule="auto"/>
        <w:rPr>
          <w:sz w:val="24"/>
        </w:rPr>
      </w:pPr>
      <w:r>
        <w:rPr>
          <w:sz w:val="24"/>
        </w:rPr>
        <w:t xml:space="preserve">4. </w:t>
      </w:r>
      <w:r>
        <w:rPr>
          <w:rFonts w:hAnsiTheme="minorEastAsia"/>
          <w:sz w:val="24"/>
        </w:rPr>
        <w:t>投标人在上表</w:t>
      </w:r>
      <w:r>
        <w:rPr>
          <w:sz w:val="24"/>
        </w:rPr>
        <w:t>“</w:t>
      </w:r>
      <w:r>
        <w:rPr>
          <w:rFonts w:hAnsiTheme="minorEastAsia"/>
          <w:sz w:val="24"/>
        </w:rPr>
        <w:t>项目需求书要求</w:t>
      </w:r>
      <w:r>
        <w:rPr>
          <w:sz w:val="24"/>
        </w:rPr>
        <w:t>”</w:t>
      </w:r>
      <w:r>
        <w:rPr>
          <w:rFonts w:hAnsiTheme="minorEastAsia"/>
          <w:sz w:val="24"/>
        </w:rPr>
        <w:t>的投标应答中必须列出具体数值或内容。如投标人未应答或只注明</w:t>
      </w:r>
      <w:r>
        <w:rPr>
          <w:sz w:val="24"/>
        </w:rPr>
        <w:t>“</w:t>
      </w:r>
      <w:r>
        <w:rPr>
          <w:rFonts w:hAnsiTheme="minorEastAsia"/>
          <w:sz w:val="24"/>
        </w:rPr>
        <w:t>符合</w:t>
      </w:r>
      <w:r>
        <w:rPr>
          <w:sz w:val="24"/>
        </w:rPr>
        <w:t>”</w:t>
      </w:r>
      <w:r>
        <w:rPr>
          <w:rFonts w:hAnsiTheme="minorEastAsia"/>
          <w:sz w:val="24"/>
        </w:rPr>
        <w:t>、</w:t>
      </w:r>
      <w:r>
        <w:rPr>
          <w:sz w:val="24"/>
        </w:rPr>
        <w:t>“</w:t>
      </w:r>
      <w:r>
        <w:rPr>
          <w:rFonts w:hAnsiTheme="minorEastAsia"/>
          <w:sz w:val="24"/>
        </w:rPr>
        <w:t>满足</w:t>
      </w:r>
      <w:r>
        <w:rPr>
          <w:sz w:val="24"/>
        </w:rPr>
        <w:t>”</w:t>
      </w:r>
      <w:r>
        <w:rPr>
          <w:rFonts w:hAnsiTheme="minorEastAsia"/>
          <w:sz w:val="24"/>
        </w:rPr>
        <w:t>等类似无具体内容的表述，将被视为不符合招标文件要求。投标人自行承担由此造成的一切后果。</w:t>
      </w:r>
    </w:p>
    <w:p w14:paraId="3A5C0B7E">
      <w:pPr>
        <w:spacing w:line="360" w:lineRule="auto"/>
        <w:ind w:right="84" w:firstLine="224" w:firstLineChars="100"/>
        <w:rPr>
          <w:sz w:val="24"/>
        </w:rPr>
      </w:pPr>
      <w:r>
        <w:rPr>
          <w:rFonts w:hAnsiTheme="minorEastAsia"/>
          <w:sz w:val="24"/>
        </w:rPr>
        <w:t>投标人名称：</w:t>
      </w:r>
    </w:p>
    <w:p w14:paraId="5F92C56F">
      <w:pPr>
        <w:spacing w:line="360" w:lineRule="auto"/>
        <w:ind w:right="84" w:firstLine="224" w:firstLineChars="100"/>
        <w:rPr>
          <w:sz w:val="24"/>
        </w:rPr>
      </w:pPr>
    </w:p>
    <w:p w14:paraId="3F712C7A">
      <w:pPr>
        <w:spacing w:line="360" w:lineRule="auto"/>
        <w:ind w:right="84" w:firstLine="224" w:firstLineChars="100"/>
        <w:rPr>
          <w:sz w:val="24"/>
        </w:rPr>
      </w:pPr>
      <w:r>
        <w:rPr>
          <w:rFonts w:hAnsiTheme="minorEastAsia"/>
          <w:sz w:val="24"/>
        </w:rPr>
        <w:t>日期</w:t>
      </w:r>
    </w:p>
    <w:p w14:paraId="4EA4096F">
      <w:pPr>
        <w:widowControl/>
        <w:jc w:val="left"/>
        <w:rPr>
          <w:b/>
          <w:sz w:val="24"/>
        </w:rPr>
      </w:pPr>
      <w:r>
        <w:rPr>
          <w:rFonts w:hint="eastAsia" w:hAnsiTheme="minorEastAsia"/>
          <w:b/>
          <w:sz w:val="24"/>
        </w:rPr>
        <w:t>附件</w:t>
      </w:r>
      <w:r>
        <w:rPr>
          <w:rFonts w:hint="eastAsia"/>
          <w:b/>
          <w:sz w:val="24"/>
        </w:rPr>
        <w:t>6-2</w:t>
      </w:r>
    </w:p>
    <w:p w14:paraId="45075882">
      <w:pPr>
        <w:widowControl/>
        <w:jc w:val="left"/>
        <w:rPr>
          <w:sz w:val="24"/>
        </w:rPr>
      </w:pPr>
    </w:p>
    <w:p w14:paraId="246CAE84">
      <w:pPr>
        <w:widowControl/>
        <w:jc w:val="center"/>
        <w:rPr>
          <w:b/>
          <w:sz w:val="24"/>
        </w:rPr>
      </w:pPr>
      <w:r>
        <w:rPr>
          <w:rFonts w:hint="eastAsia" w:hAnsiTheme="minorEastAsia"/>
          <w:b/>
          <w:sz w:val="24"/>
        </w:rPr>
        <w:t>项目人员及岗位安排</w:t>
      </w:r>
    </w:p>
    <w:p w14:paraId="3FFE440D">
      <w:pPr>
        <w:widowControl/>
        <w:jc w:val="left"/>
        <w:rPr>
          <w:sz w:val="24"/>
        </w:rPr>
      </w:pPr>
    </w:p>
    <w:p w14:paraId="617DE874">
      <w:pPr>
        <w:spacing w:line="460" w:lineRule="exact"/>
        <w:rPr>
          <w:sz w:val="24"/>
        </w:rPr>
      </w:pPr>
      <w:r>
        <w:rPr>
          <w:rFonts w:hAnsiTheme="minorEastAsia"/>
          <w:sz w:val="24"/>
        </w:rPr>
        <w:t>项目名称：</w:t>
      </w:r>
    </w:p>
    <w:p w14:paraId="4563CC78">
      <w:pPr>
        <w:spacing w:line="460" w:lineRule="exact"/>
        <w:rPr>
          <w:sz w:val="24"/>
        </w:rPr>
      </w:pPr>
      <w:r>
        <w:rPr>
          <w:rFonts w:hAnsiTheme="minorEastAsia"/>
          <w:sz w:val="24"/>
        </w:rPr>
        <w:t>项目编号：</w:t>
      </w:r>
    </w:p>
    <w:p w14:paraId="1B8C415A">
      <w:pPr>
        <w:spacing w:line="460" w:lineRule="exact"/>
        <w:rPr>
          <w:sz w:val="24"/>
          <w:u w:val="single"/>
        </w:rPr>
      </w:pPr>
      <w:r>
        <w:rPr>
          <w:rFonts w:hAnsiTheme="minorEastAsia"/>
          <w:sz w:val="24"/>
        </w:rPr>
        <w:t>包号：</w:t>
      </w:r>
    </w:p>
    <w:p w14:paraId="609F0215">
      <w:pPr>
        <w:widowControl/>
        <w:jc w:val="left"/>
        <w:rPr>
          <w:sz w:val="24"/>
        </w:rPr>
      </w:pPr>
    </w:p>
    <w:p w14:paraId="05FC2EC1">
      <w:pPr>
        <w:widowControl/>
        <w:jc w:val="left"/>
        <w:rPr>
          <w:sz w:val="24"/>
        </w:rPr>
      </w:pPr>
    </w:p>
    <w:tbl>
      <w:tblPr>
        <w:tblStyle w:val="21"/>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4F6C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73D187C">
            <w:pPr>
              <w:spacing w:line="360" w:lineRule="auto"/>
              <w:jc w:val="center"/>
              <w:rPr>
                <w:b/>
                <w:szCs w:val="21"/>
              </w:rPr>
            </w:pPr>
            <w:r>
              <w:rPr>
                <w:rFonts w:hAnsiTheme="minorEastAsia"/>
                <w:b/>
                <w:szCs w:val="21"/>
              </w:rPr>
              <w:t>序号</w:t>
            </w:r>
          </w:p>
        </w:tc>
        <w:tc>
          <w:tcPr>
            <w:tcW w:w="682" w:type="pct"/>
            <w:vAlign w:val="center"/>
          </w:tcPr>
          <w:p w14:paraId="4229E3A6">
            <w:pPr>
              <w:spacing w:line="360" w:lineRule="auto"/>
              <w:jc w:val="center"/>
              <w:rPr>
                <w:b/>
                <w:szCs w:val="21"/>
              </w:rPr>
            </w:pPr>
            <w:r>
              <w:rPr>
                <w:rFonts w:hAnsiTheme="minorEastAsia"/>
                <w:b/>
                <w:szCs w:val="21"/>
              </w:rPr>
              <w:t>岗位名称</w:t>
            </w:r>
          </w:p>
        </w:tc>
        <w:tc>
          <w:tcPr>
            <w:tcW w:w="682" w:type="pct"/>
            <w:vAlign w:val="center"/>
          </w:tcPr>
          <w:p w14:paraId="5996268A">
            <w:pPr>
              <w:spacing w:line="360" w:lineRule="auto"/>
              <w:jc w:val="center"/>
              <w:rPr>
                <w:b/>
                <w:szCs w:val="21"/>
              </w:rPr>
            </w:pPr>
            <w:r>
              <w:rPr>
                <w:rFonts w:hint="eastAsia" w:hAnsiTheme="minorEastAsia"/>
                <w:b/>
                <w:szCs w:val="21"/>
              </w:rPr>
              <w:t>投入</w:t>
            </w:r>
            <w:r>
              <w:rPr>
                <w:rFonts w:hAnsiTheme="minorEastAsia"/>
                <w:b/>
                <w:szCs w:val="21"/>
              </w:rPr>
              <w:t>人数</w:t>
            </w:r>
          </w:p>
        </w:tc>
        <w:tc>
          <w:tcPr>
            <w:tcW w:w="1113" w:type="pct"/>
            <w:vAlign w:val="center"/>
          </w:tcPr>
          <w:p w14:paraId="3C7BD96F">
            <w:pPr>
              <w:spacing w:line="360" w:lineRule="auto"/>
              <w:jc w:val="center"/>
              <w:rPr>
                <w:b/>
                <w:szCs w:val="21"/>
              </w:rPr>
            </w:pPr>
            <w:r>
              <w:rPr>
                <w:rFonts w:hint="eastAsia" w:hAnsiTheme="minorEastAsia"/>
                <w:b/>
                <w:szCs w:val="21"/>
              </w:rPr>
              <w:t>人员情况简介</w:t>
            </w:r>
          </w:p>
        </w:tc>
        <w:tc>
          <w:tcPr>
            <w:tcW w:w="652" w:type="pct"/>
            <w:vAlign w:val="center"/>
          </w:tcPr>
          <w:p w14:paraId="123C64A3">
            <w:pPr>
              <w:spacing w:line="360" w:lineRule="auto"/>
              <w:jc w:val="center"/>
              <w:rPr>
                <w:b/>
                <w:szCs w:val="21"/>
              </w:rPr>
            </w:pPr>
            <w:r>
              <w:rPr>
                <w:rFonts w:hint="eastAsia" w:hAnsiTheme="minorEastAsia"/>
                <w:b/>
                <w:szCs w:val="21"/>
              </w:rPr>
              <w:t>是否退休</w:t>
            </w:r>
          </w:p>
        </w:tc>
        <w:tc>
          <w:tcPr>
            <w:tcW w:w="723" w:type="pct"/>
            <w:vAlign w:val="center"/>
          </w:tcPr>
          <w:p w14:paraId="60660285">
            <w:pPr>
              <w:spacing w:line="360" w:lineRule="auto"/>
              <w:jc w:val="center"/>
              <w:rPr>
                <w:b/>
                <w:szCs w:val="21"/>
              </w:rPr>
            </w:pPr>
            <w:r>
              <w:rPr>
                <w:rFonts w:hAnsiTheme="minorEastAsia"/>
                <w:b/>
                <w:szCs w:val="21"/>
              </w:rPr>
              <w:t>工作时间</w:t>
            </w:r>
          </w:p>
        </w:tc>
        <w:tc>
          <w:tcPr>
            <w:tcW w:w="723" w:type="pct"/>
            <w:vAlign w:val="center"/>
          </w:tcPr>
          <w:p w14:paraId="7F71EAB0">
            <w:pPr>
              <w:spacing w:line="360" w:lineRule="auto"/>
              <w:jc w:val="center"/>
              <w:rPr>
                <w:b/>
                <w:szCs w:val="21"/>
              </w:rPr>
            </w:pPr>
            <w:r>
              <w:rPr>
                <w:rFonts w:hint="eastAsia" w:hAnsiTheme="minorEastAsia"/>
                <w:b/>
                <w:szCs w:val="21"/>
              </w:rPr>
              <w:t>备注</w:t>
            </w:r>
          </w:p>
        </w:tc>
      </w:tr>
      <w:tr w14:paraId="14B0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AF63E80">
            <w:pPr>
              <w:spacing w:line="360" w:lineRule="auto"/>
              <w:jc w:val="center"/>
              <w:rPr>
                <w:szCs w:val="21"/>
              </w:rPr>
            </w:pPr>
          </w:p>
        </w:tc>
        <w:tc>
          <w:tcPr>
            <w:tcW w:w="682" w:type="pct"/>
            <w:vAlign w:val="center"/>
          </w:tcPr>
          <w:p w14:paraId="15396CE9">
            <w:pPr>
              <w:spacing w:line="360" w:lineRule="auto"/>
              <w:jc w:val="center"/>
              <w:rPr>
                <w:szCs w:val="21"/>
              </w:rPr>
            </w:pPr>
          </w:p>
        </w:tc>
        <w:tc>
          <w:tcPr>
            <w:tcW w:w="682" w:type="pct"/>
            <w:vAlign w:val="center"/>
          </w:tcPr>
          <w:p w14:paraId="3134D4E7">
            <w:pPr>
              <w:spacing w:line="360" w:lineRule="auto"/>
              <w:jc w:val="center"/>
              <w:rPr>
                <w:szCs w:val="21"/>
              </w:rPr>
            </w:pPr>
          </w:p>
        </w:tc>
        <w:tc>
          <w:tcPr>
            <w:tcW w:w="1113" w:type="pct"/>
            <w:vAlign w:val="center"/>
          </w:tcPr>
          <w:p w14:paraId="32249B3D">
            <w:pPr>
              <w:spacing w:line="360" w:lineRule="auto"/>
              <w:jc w:val="center"/>
              <w:rPr>
                <w:szCs w:val="21"/>
              </w:rPr>
            </w:pPr>
          </w:p>
        </w:tc>
        <w:tc>
          <w:tcPr>
            <w:tcW w:w="652" w:type="pct"/>
            <w:vAlign w:val="center"/>
          </w:tcPr>
          <w:p w14:paraId="2B306E47">
            <w:pPr>
              <w:spacing w:line="360" w:lineRule="auto"/>
              <w:jc w:val="center"/>
              <w:rPr>
                <w:szCs w:val="21"/>
              </w:rPr>
            </w:pPr>
          </w:p>
        </w:tc>
        <w:tc>
          <w:tcPr>
            <w:tcW w:w="723" w:type="pct"/>
            <w:vAlign w:val="center"/>
          </w:tcPr>
          <w:p w14:paraId="03D7C283">
            <w:pPr>
              <w:spacing w:line="360" w:lineRule="auto"/>
              <w:jc w:val="center"/>
              <w:rPr>
                <w:szCs w:val="21"/>
              </w:rPr>
            </w:pPr>
          </w:p>
        </w:tc>
        <w:tc>
          <w:tcPr>
            <w:tcW w:w="723" w:type="pct"/>
          </w:tcPr>
          <w:p w14:paraId="5E460AA0">
            <w:pPr>
              <w:spacing w:line="360" w:lineRule="auto"/>
              <w:jc w:val="center"/>
              <w:rPr>
                <w:szCs w:val="21"/>
              </w:rPr>
            </w:pPr>
          </w:p>
        </w:tc>
      </w:tr>
      <w:tr w14:paraId="05D9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49328CA">
            <w:pPr>
              <w:spacing w:line="360" w:lineRule="auto"/>
              <w:jc w:val="center"/>
              <w:rPr>
                <w:szCs w:val="21"/>
              </w:rPr>
            </w:pPr>
          </w:p>
        </w:tc>
        <w:tc>
          <w:tcPr>
            <w:tcW w:w="682" w:type="pct"/>
            <w:vAlign w:val="center"/>
          </w:tcPr>
          <w:p w14:paraId="7670BF79">
            <w:pPr>
              <w:spacing w:line="360" w:lineRule="auto"/>
              <w:jc w:val="center"/>
              <w:rPr>
                <w:szCs w:val="21"/>
              </w:rPr>
            </w:pPr>
          </w:p>
        </w:tc>
        <w:tc>
          <w:tcPr>
            <w:tcW w:w="682" w:type="pct"/>
            <w:vAlign w:val="center"/>
          </w:tcPr>
          <w:p w14:paraId="1947F25F">
            <w:pPr>
              <w:spacing w:line="360" w:lineRule="auto"/>
              <w:jc w:val="center"/>
              <w:rPr>
                <w:szCs w:val="21"/>
              </w:rPr>
            </w:pPr>
          </w:p>
        </w:tc>
        <w:tc>
          <w:tcPr>
            <w:tcW w:w="1113" w:type="pct"/>
            <w:vAlign w:val="center"/>
          </w:tcPr>
          <w:p w14:paraId="3AFF5115">
            <w:pPr>
              <w:spacing w:line="360" w:lineRule="auto"/>
              <w:jc w:val="center"/>
              <w:rPr>
                <w:szCs w:val="21"/>
              </w:rPr>
            </w:pPr>
          </w:p>
        </w:tc>
        <w:tc>
          <w:tcPr>
            <w:tcW w:w="652" w:type="pct"/>
            <w:vAlign w:val="center"/>
          </w:tcPr>
          <w:p w14:paraId="6A168C4C">
            <w:pPr>
              <w:spacing w:line="360" w:lineRule="auto"/>
              <w:jc w:val="center"/>
              <w:rPr>
                <w:szCs w:val="21"/>
              </w:rPr>
            </w:pPr>
          </w:p>
        </w:tc>
        <w:tc>
          <w:tcPr>
            <w:tcW w:w="723" w:type="pct"/>
            <w:vAlign w:val="center"/>
          </w:tcPr>
          <w:p w14:paraId="63DCFC8F">
            <w:pPr>
              <w:spacing w:line="360" w:lineRule="auto"/>
              <w:jc w:val="center"/>
              <w:rPr>
                <w:szCs w:val="21"/>
              </w:rPr>
            </w:pPr>
          </w:p>
        </w:tc>
        <w:tc>
          <w:tcPr>
            <w:tcW w:w="723" w:type="pct"/>
          </w:tcPr>
          <w:p w14:paraId="064B44E0">
            <w:pPr>
              <w:spacing w:line="360" w:lineRule="auto"/>
              <w:jc w:val="center"/>
              <w:rPr>
                <w:szCs w:val="21"/>
              </w:rPr>
            </w:pPr>
          </w:p>
        </w:tc>
      </w:tr>
      <w:tr w14:paraId="1889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C1CD050">
            <w:pPr>
              <w:spacing w:line="360" w:lineRule="auto"/>
              <w:jc w:val="center"/>
              <w:rPr>
                <w:szCs w:val="21"/>
              </w:rPr>
            </w:pPr>
          </w:p>
        </w:tc>
        <w:tc>
          <w:tcPr>
            <w:tcW w:w="682" w:type="pct"/>
            <w:vAlign w:val="center"/>
          </w:tcPr>
          <w:p w14:paraId="1C1238B1">
            <w:pPr>
              <w:spacing w:line="360" w:lineRule="auto"/>
              <w:jc w:val="center"/>
              <w:rPr>
                <w:szCs w:val="21"/>
              </w:rPr>
            </w:pPr>
          </w:p>
        </w:tc>
        <w:tc>
          <w:tcPr>
            <w:tcW w:w="682" w:type="pct"/>
            <w:vAlign w:val="center"/>
          </w:tcPr>
          <w:p w14:paraId="50A47FC9">
            <w:pPr>
              <w:spacing w:line="360" w:lineRule="auto"/>
              <w:jc w:val="center"/>
              <w:rPr>
                <w:szCs w:val="21"/>
              </w:rPr>
            </w:pPr>
          </w:p>
        </w:tc>
        <w:tc>
          <w:tcPr>
            <w:tcW w:w="1113" w:type="pct"/>
            <w:vAlign w:val="center"/>
          </w:tcPr>
          <w:p w14:paraId="68308671">
            <w:pPr>
              <w:spacing w:line="360" w:lineRule="auto"/>
              <w:jc w:val="center"/>
              <w:rPr>
                <w:szCs w:val="21"/>
              </w:rPr>
            </w:pPr>
          </w:p>
        </w:tc>
        <w:tc>
          <w:tcPr>
            <w:tcW w:w="652" w:type="pct"/>
            <w:vAlign w:val="center"/>
          </w:tcPr>
          <w:p w14:paraId="7DFCD1FC">
            <w:pPr>
              <w:spacing w:line="360" w:lineRule="auto"/>
              <w:jc w:val="center"/>
              <w:rPr>
                <w:szCs w:val="21"/>
              </w:rPr>
            </w:pPr>
          </w:p>
        </w:tc>
        <w:tc>
          <w:tcPr>
            <w:tcW w:w="723" w:type="pct"/>
            <w:vAlign w:val="center"/>
          </w:tcPr>
          <w:p w14:paraId="76DD8FB6">
            <w:pPr>
              <w:spacing w:line="360" w:lineRule="auto"/>
              <w:jc w:val="center"/>
              <w:rPr>
                <w:szCs w:val="21"/>
              </w:rPr>
            </w:pPr>
          </w:p>
        </w:tc>
        <w:tc>
          <w:tcPr>
            <w:tcW w:w="723" w:type="pct"/>
          </w:tcPr>
          <w:p w14:paraId="02FBE63E">
            <w:pPr>
              <w:spacing w:line="360" w:lineRule="auto"/>
              <w:jc w:val="center"/>
              <w:rPr>
                <w:szCs w:val="21"/>
              </w:rPr>
            </w:pPr>
          </w:p>
        </w:tc>
      </w:tr>
      <w:tr w14:paraId="5B6C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1E8F4EA">
            <w:pPr>
              <w:spacing w:line="360" w:lineRule="auto"/>
              <w:jc w:val="center"/>
              <w:rPr>
                <w:szCs w:val="21"/>
              </w:rPr>
            </w:pPr>
          </w:p>
        </w:tc>
        <w:tc>
          <w:tcPr>
            <w:tcW w:w="682" w:type="pct"/>
            <w:vAlign w:val="center"/>
          </w:tcPr>
          <w:p w14:paraId="5CA1C682">
            <w:pPr>
              <w:spacing w:line="360" w:lineRule="auto"/>
              <w:jc w:val="center"/>
              <w:rPr>
                <w:szCs w:val="21"/>
              </w:rPr>
            </w:pPr>
          </w:p>
        </w:tc>
        <w:tc>
          <w:tcPr>
            <w:tcW w:w="682" w:type="pct"/>
            <w:vAlign w:val="center"/>
          </w:tcPr>
          <w:p w14:paraId="5CFCEB5C">
            <w:pPr>
              <w:spacing w:line="360" w:lineRule="auto"/>
              <w:jc w:val="center"/>
              <w:rPr>
                <w:szCs w:val="21"/>
              </w:rPr>
            </w:pPr>
          </w:p>
        </w:tc>
        <w:tc>
          <w:tcPr>
            <w:tcW w:w="1113" w:type="pct"/>
            <w:vAlign w:val="center"/>
          </w:tcPr>
          <w:p w14:paraId="04185CA9">
            <w:pPr>
              <w:spacing w:line="360" w:lineRule="auto"/>
              <w:jc w:val="center"/>
              <w:rPr>
                <w:szCs w:val="21"/>
              </w:rPr>
            </w:pPr>
          </w:p>
        </w:tc>
        <w:tc>
          <w:tcPr>
            <w:tcW w:w="652" w:type="pct"/>
            <w:vAlign w:val="center"/>
          </w:tcPr>
          <w:p w14:paraId="5C9DFD07">
            <w:pPr>
              <w:spacing w:line="360" w:lineRule="auto"/>
              <w:jc w:val="center"/>
              <w:rPr>
                <w:szCs w:val="21"/>
              </w:rPr>
            </w:pPr>
          </w:p>
        </w:tc>
        <w:tc>
          <w:tcPr>
            <w:tcW w:w="723" w:type="pct"/>
            <w:vAlign w:val="center"/>
          </w:tcPr>
          <w:p w14:paraId="205A4096">
            <w:pPr>
              <w:spacing w:line="360" w:lineRule="auto"/>
              <w:jc w:val="center"/>
              <w:rPr>
                <w:szCs w:val="21"/>
              </w:rPr>
            </w:pPr>
          </w:p>
        </w:tc>
        <w:tc>
          <w:tcPr>
            <w:tcW w:w="723" w:type="pct"/>
          </w:tcPr>
          <w:p w14:paraId="6F0C96C9">
            <w:pPr>
              <w:spacing w:line="360" w:lineRule="auto"/>
              <w:jc w:val="center"/>
              <w:rPr>
                <w:szCs w:val="21"/>
              </w:rPr>
            </w:pPr>
          </w:p>
        </w:tc>
      </w:tr>
      <w:tr w14:paraId="1B6C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843B3AB">
            <w:pPr>
              <w:spacing w:line="360" w:lineRule="auto"/>
              <w:jc w:val="center"/>
              <w:rPr>
                <w:szCs w:val="21"/>
              </w:rPr>
            </w:pPr>
          </w:p>
        </w:tc>
        <w:tc>
          <w:tcPr>
            <w:tcW w:w="682" w:type="pct"/>
            <w:vAlign w:val="center"/>
          </w:tcPr>
          <w:p w14:paraId="4042BA5C">
            <w:pPr>
              <w:spacing w:line="360" w:lineRule="auto"/>
              <w:jc w:val="center"/>
              <w:rPr>
                <w:szCs w:val="21"/>
              </w:rPr>
            </w:pPr>
          </w:p>
        </w:tc>
        <w:tc>
          <w:tcPr>
            <w:tcW w:w="682" w:type="pct"/>
            <w:vAlign w:val="center"/>
          </w:tcPr>
          <w:p w14:paraId="014799BF">
            <w:pPr>
              <w:spacing w:line="360" w:lineRule="auto"/>
              <w:jc w:val="center"/>
              <w:rPr>
                <w:szCs w:val="21"/>
              </w:rPr>
            </w:pPr>
          </w:p>
        </w:tc>
        <w:tc>
          <w:tcPr>
            <w:tcW w:w="1113" w:type="pct"/>
            <w:vAlign w:val="center"/>
          </w:tcPr>
          <w:p w14:paraId="5D58E6AC">
            <w:pPr>
              <w:spacing w:line="360" w:lineRule="auto"/>
              <w:jc w:val="center"/>
              <w:rPr>
                <w:szCs w:val="21"/>
              </w:rPr>
            </w:pPr>
          </w:p>
        </w:tc>
        <w:tc>
          <w:tcPr>
            <w:tcW w:w="652" w:type="pct"/>
            <w:vAlign w:val="center"/>
          </w:tcPr>
          <w:p w14:paraId="075396D0">
            <w:pPr>
              <w:spacing w:line="360" w:lineRule="auto"/>
              <w:jc w:val="center"/>
              <w:rPr>
                <w:szCs w:val="21"/>
              </w:rPr>
            </w:pPr>
          </w:p>
        </w:tc>
        <w:tc>
          <w:tcPr>
            <w:tcW w:w="723" w:type="pct"/>
            <w:vAlign w:val="center"/>
          </w:tcPr>
          <w:p w14:paraId="3EF1F687">
            <w:pPr>
              <w:spacing w:line="360" w:lineRule="auto"/>
              <w:jc w:val="center"/>
              <w:rPr>
                <w:szCs w:val="21"/>
              </w:rPr>
            </w:pPr>
          </w:p>
        </w:tc>
        <w:tc>
          <w:tcPr>
            <w:tcW w:w="723" w:type="pct"/>
          </w:tcPr>
          <w:p w14:paraId="0CCF96A7">
            <w:pPr>
              <w:spacing w:line="360" w:lineRule="auto"/>
              <w:jc w:val="center"/>
              <w:rPr>
                <w:szCs w:val="21"/>
              </w:rPr>
            </w:pPr>
          </w:p>
        </w:tc>
      </w:tr>
      <w:tr w14:paraId="766F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64D382E">
            <w:pPr>
              <w:spacing w:line="360" w:lineRule="auto"/>
              <w:jc w:val="center"/>
              <w:rPr>
                <w:szCs w:val="21"/>
              </w:rPr>
            </w:pPr>
          </w:p>
        </w:tc>
        <w:tc>
          <w:tcPr>
            <w:tcW w:w="682" w:type="pct"/>
            <w:vAlign w:val="center"/>
          </w:tcPr>
          <w:p w14:paraId="24A57860">
            <w:pPr>
              <w:spacing w:line="360" w:lineRule="auto"/>
              <w:jc w:val="center"/>
              <w:rPr>
                <w:szCs w:val="21"/>
              </w:rPr>
            </w:pPr>
          </w:p>
        </w:tc>
        <w:tc>
          <w:tcPr>
            <w:tcW w:w="682" w:type="pct"/>
            <w:vAlign w:val="center"/>
          </w:tcPr>
          <w:p w14:paraId="0A855708">
            <w:pPr>
              <w:spacing w:line="360" w:lineRule="auto"/>
              <w:jc w:val="center"/>
              <w:rPr>
                <w:szCs w:val="21"/>
              </w:rPr>
            </w:pPr>
          </w:p>
        </w:tc>
        <w:tc>
          <w:tcPr>
            <w:tcW w:w="1113" w:type="pct"/>
            <w:vAlign w:val="center"/>
          </w:tcPr>
          <w:p w14:paraId="2D2E9A9D">
            <w:pPr>
              <w:spacing w:line="360" w:lineRule="auto"/>
              <w:jc w:val="center"/>
              <w:rPr>
                <w:szCs w:val="21"/>
              </w:rPr>
            </w:pPr>
          </w:p>
        </w:tc>
        <w:tc>
          <w:tcPr>
            <w:tcW w:w="652" w:type="pct"/>
            <w:vAlign w:val="center"/>
          </w:tcPr>
          <w:p w14:paraId="73EF3563">
            <w:pPr>
              <w:spacing w:line="360" w:lineRule="auto"/>
              <w:jc w:val="center"/>
              <w:rPr>
                <w:szCs w:val="21"/>
              </w:rPr>
            </w:pPr>
          </w:p>
        </w:tc>
        <w:tc>
          <w:tcPr>
            <w:tcW w:w="723" w:type="pct"/>
            <w:vAlign w:val="center"/>
          </w:tcPr>
          <w:p w14:paraId="24BD5678">
            <w:pPr>
              <w:spacing w:line="360" w:lineRule="auto"/>
              <w:jc w:val="center"/>
              <w:rPr>
                <w:szCs w:val="21"/>
              </w:rPr>
            </w:pPr>
          </w:p>
        </w:tc>
        <w:tc>
          <w:tcPr>
            <w:tcW w:w="723" w:type="pct"/>
          </w:tcPr>
          <w:p w14:paraId="44676D4C">
            <w:pPr>
              <w:spacing w:line="360" w:lineRule="auto"/>
              <w:jc w:val="center"/>
              <w:rPr>
                <w:szCs w:val="21"/>
              </w:rPr>
            </w:pPr>
          </w:p>
        </w:tc>
      </w:tr>
      <w:tr w14:paraId="10BA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76879811">
            <w:pPr>
              <w:spacing w:line="360" w:lineRule="auto"/>
              <w:jc w:val="center"/>
              <w:rPr>
                <w:szCs w:val="21"/>
              </w:rPr>
            </w:pPr>
            <w:r>
              <w:rPr>
                <w:rFonts w:hint="eastAsia" w:hAnsiTheme="minorEastAsia"/>
                <w:szCs w:val="21"/>
              </w:rPr>
              <w:t>合计人数</w:t>
            </w:r>
          </w:p>
        </w:tc>
        <w:tc>
          <w:tcPr>
            <w:tcW w:w="3892" w:type="pct"/>
            <w:gridSpan w:val="5"/>
            <w:vAlign w:val="center"/>
          </w:tcPr>
          <w:p w14:paraId="5C0DEBD3">
            <w:pPr>
              <w:spacing w:line="360" w:lineRule="auto"/>
              <w:jc w:val="center"/>
              <w:rPr>
                <w:szCs w:val="21"/>
              </w:rPr>
            </w:pPr>
          </w:p>
        </w:tc>
      </w:tr>
    </w:tbl>
    <w:p w14:paraId="20379FE7">
      <w:pPr>
        <w:widowControl/>
        <w:ind w:firstLine="448" w:firstLineChars="200"/>
        <w:jc w:val="left"/>
        <w:rPr>
          <w:sz w:val="24"/>
        </w:rPr>
      </w:pPr>
      <w:r>
        <w:rPr>
          <w:rFonts w:hint="eastAsia" w:hAnsiTheme="minorEastAsia"/>
          <w:sz w:val="24"/>
        </w:rPr>
        <w:t>我公司承诺上述人员身体健康，一旦我公司获得中标，承诺上述人员投入本项目服务，非经采购人同意，不随意更换人员。</w:t>
      </w:r>
    </w:p>
    <w:p w14:paraId="308F2FC5">
      <w:pPr>
        <w:widowControl/>
        <w:ind w:firstLine="448" w:firstLineChars="200"/>
        <w:jc w:val="left"/>
        <w:rPr>
          <w:sz w:val="24"/>
        </w:rPr>
      </w:pPr>
      <w:r>
        <w:rPr>
          <w:rFonts w:hint="eastAsia" w:hAnsiTheme="minorEastAsia"/>
          <w:sz w:val="24"/>
        </w:rPr>
        <w:t>按劳动法和国务院关于职工工作时间的规定，正常情况下，上述人员每日工作不超过</w:t>
      </w:r>
      <w:r>
        <w:rPr>
          <w:rFonts w:hint="eastAsia"/>
          <w:sz w:val="24"/>
        </w:rPr>
        <w:t>8</w:t>
      </w:r>
      <w:r>
        <w:rPr>
          <w:rFonts w:hint="eastAsia" w:hAnsiTheme="minorEastAsia"/>
          <w:sz w:val="24"/>
        </w:rPr>
        <w:t>小时，每周工作不超过</w:t>
      </w:r>
      <w:r>
        <w:rPr>
          <w:rFonts w:hint="eastAsia"/>
          <w:sz w:val="24"/>
        </w:rPr>
        <w:t>40</w:t>
      </w:r>
      <w:r>
        <w:rPr>
          <w:rFonts w:hint="eastAsia" w:hAnsiTheme="minorEastAsia"/>
          <w:sz w:val="24"/>
        </w:rPr>
        <w:t>小时。采购人需安排加班的，我公司积极配合并向劳动者支付加班费。</w:t>
      </w:r>
    </w:p>
    <w:p w14:paraId="69A2AB2B">
      <w:pPr>
        <w:widowControl/>
        <w:jc w:val="left"/>
        <w:rPr>
          <w:sz w:val="24"/>
        </w:rPr>
      </w:pPr>
    </w:p>
    <w:p w14:paraId="7AD2F105">
      <w:pPr>
        <w:widowControl/>
        <w:jc w:val="left"/>
        <w:rPr>
          <w:sz w:val="24"/>
        </w:rPr>
      </w:pPr>
    </w:p>
    <w:p w14:paraId="35C0C0F9">
      <w:pPr>
        <w:widowControl/>
        <w:jc w:val="left"/>
        <w:rPr>
          <w:sz w:val="24"/>
        </w:rPr>
      </w:pPr>
    </w:p>
    <w:p w14:paraId="13C87B73">
      <w:pPr>
        <w:widowControl/>
        <w:jc w:val="left"/>
        <w:rPr>
          <w:sz w:val="24"/>
        </w:rPr>
      </w:pPr>
    </w:p>
    <w:p w14:paraId="09916FD2">
      <w:pPr>
        <w:spacing w:line="360" w:lineRule="auto"/>
        <w:ind w:right="84" w:firstLine="224" w:firstLineChars="100"/>
        <w:rPr>
          <w:sz w:val="24"/>
        </w:rPr>
      </w:pPr>
      <w:r>
        <w:rPr>
          <w:rFonts w:hAnsiTheme="minorEastAsia"/>
          <w:sz w:val="24"/>
        </w:rPr>
        <w:t>投标人名称：</w:t>
      </w:r>
    </w:p>
    <w:p w14:paraId="3F245C08">
      <w:pPr>
        <w:spacing w:line="360" w:lineRule="auto"/>
        <w:ind w:right="84" w:firstLine="224" w:firstLineChars="100"/>
        <w:rPr>
          <w:sz w:val="24"/>
        </w:rPr>
      </w:pPr>
    </w:p>
    <w:p w14:paraId="12A8C5D2">
      <w:pPr>
        <w:spacing w:line="360" w:lineRule="auto"/>
        <w:ind w:right="84" w:firstLine="224" w:firstLineChars="100"/>
        <w:rPr>
          <w:sz w:val="24"/>
        </w:rPr>
      </w:pPr>
      <w:r>
        <w:rPr>
          <w:rFonts w:hAnsiTheme="minorEastAsia"/>
          <w:sz w:val="24"/>
        </w:rPr>
        <w:t>日期</w:t>
      </w:r>
    </w:p>
    <w:p w14:paraId="070AF58B">
      <w:pPr>
        <w:spacing w:line="360" w:lineRule="auto"/>
        <w:ind w:right="84" w:firstLine="224" w:firstLineChars="100"/>
        <w:rPr>
          <w:position w:val="-40"/>
          <w:sz w:val="24"/>
        </w:rPr>
      </w:pPr>
    </w:p>
    <w:p w14:paraId="49AA451A">
      <w:pPr>
        <w:spacing w:line="360" w:lineRule="auto"/>
        <w:ind w:right="84" w:firstLine="224" w:firstLineChars="100"/>
        <w:rPr>
          <w:position w:val="-40"/>
          <w:sz w:val="24"/>
        </w:rPr>
      </w:pPr>
    </w:p>
    <w:p w14:paraId="0284E729">
      <w:pPr>
        <w:spacing w:line="620" w:lineRule="exact"/>
        <w:rPr>
          <w:b/>
          <w:sz w:val="24"/>
        </w:rPr>
      </w:pPr>
      <w:r>
        <w:rPr>
          <w:rFonts w:hAnsiTheme="minorEastAsia"/>
          <w:b/>
          <w:sz w:val="24"/>
        </w:rPr>
        <w:t>附件</w:t>
      </w:r>
      <w:r>
        <w:rPr>
          <w:b/>
          <w:sz w:val="24"/>
        </w:rPr>
        <w:t>7</w:t>
      </w:r>
    </w:p>
    <w:p w14:paraId="51C709FD">
      <w:pPr>
        <w:autoSpaceDN w:val="0"/>
        <w:spacing w:line="360" w:lineRule="auto"/>
        <w:jc w:val="center"/>
        <w:rPr>
          <w:b/>
          <w:bCs/>
          <w:sz w:val="24"/>
        </w:rPr>
      </w:pPr>
      <w:r>
        <w:rPr>
          <w:rFonts w:hAnsiTheme="minorEastAsia"/>
          <w:b/>
          <w:sz w:val="24"/>
        </w:rPr>
        <w:t>主要相关项目业绩一览表</w:t>
      </w:r>
    </w:p>
    <w:p w14:paraId="5D93B371">
      <w:pPr>
        <w:spacing w:line="460" w:lineRule="exact"/>
        <w:ind w:left="192"/>
        <w:rPr>
          <w:sz w:val="24"/>
        </w:rPr>
      </w:pPr>
    </w:p>
    <w:p w14:paraId="0BE68CDC">
      <w:pPr>
        <w:spacing w:line="460" w:lineRule="exact"/>
        <w:rPr>
          <w:sz w:val="24"/>
        </w:rPr>
      </w:pPr>
      <w:r>
        <w:rPr>
          <w:rFonts w:hAnsiTheme="minorEastAsia"/>
          <w:sz w:val="24"/>
        </w:rPr>
        <w:t>项目名称：</w:t>
      </w:r>
    </w:p>
    <w:p w14:paraId="6C1BD596">
      <w:pPr>
        <w:spacing w:line="460" w:lineRule="exact"/>
        <w:rPr>
          <w:sz w:val="24"/>
        </w:rPr>
      </w:pPr>
      <w:r>
        <w:rPr>
          <w:rFonts w:hAnsiTheme="minorEastAsia"/>
          <w:sz w:val="24"/>
        </w:rPr>
        <w:t>项目编号：</w:t>
      </w:r>
    </w:p>
    <w:p w14:paraId="133CAFFC">
      <w:pPr>
        <w:spacing w:line="460" w:lineRule="exact"/>
        <w:rPr>
          <w:sz w:val="24"/>
          <w:u w:val="single"/>
        </w:rPr>
      </w:pPr>
      <w:r>
        <w:rPr>
          <w:rFonts w:hAnsiTheme="minorEastAsia"/>
          <w:sz w:val="24"/>
        </w:rPr>
        <w:t>包号：</w:t>
      </w:r>
    </w:p>
    <w:p w14:paraId="0DBCA10C">
      <w:pPr>
        <w:spacing w:line="460" w:lineRule="exact"/>
        <w:ind w:left="192"/>
        <w:rPr>
          <w:sz w:val="24"/>
        </w:rPr>
      </w:pPr>
    </w:p>
    <w:tbl>
      <w:tblPr>
        <w:tblStyle w:val="20"/>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290D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752E307">
            <w:pPr>
              <w:snapToGrid w:val="0"/>
              <w:jc w:val="center"/>
              <w:rPr>
                <w:sz w:val="24"/>
              </w:rPr>
            </w:pPr>
            <w:r>
              <w:rPr>
                <w:rFonts w:hAnsiTheme="minorEastAsia"/>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52EED2F0">
            <w:pPr>
              <w:snapToGrid w:val="0"/>
              <w:jc w:val="center"/>
              <w:rPr>
                <w:sz w:val="24"/>
              </w:rPr>
            </w:pPr>
            <w:r>
              <w:rPr>
                <w:rFonts w:hAnsiTheme="minorEastAsia"/>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19420721">
            <w:pPr>
              <w:snapToGrid w:val="0"/>
              <w:jc w:val="center"/>
              <w:rPr>
                <w:sz w:val="24"/>
              </w:rPr>
            </w:pPr>
            <w:r>
              <w:rPr>
                <w:rFonts w:hAnsiTheme="minorEastAsia"/>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06A4EB38">
            <w:pPr>
              <w:snapToGrid w:val="0"/>
              <w:jc w:val="center"/>
              <w:rPr>
                <w:sz w:val="24"/>
              </w:rPr>
            </w:pPr>
            <w:r>
              <w:rPr>
                <w:rFonts w:hAnsiTheme="minorEastAsia"/>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2332317F">
            <w:pPr>
              <w:snapToGrid w:val="0"/>
              <w:jc w:val="center"/>
              <w:rPr>
                <w:sz w:val="24"/>
              </w:rPr>
            </w:pPr>
            <w:r>
              <w:rPr>
                <w:rFonts w:hAnsiTheme="minorEastAsia"/>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2A0DF750">
            <w:pPr>
              <w:snapToGrid w:val="0"/>
              <w:jc w:val="center"/>
              <w:rPr>
                <w:sz w:val="24"/>
              </w:rPr>
            </w:pPr>
            <w:r>
              <w:rPr>
                <w:rFonts w:hAnsiTheme="minorEastAsia"/>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46D0FC56">
            <w:pPr>
              <w:snapToGrid w:val="0"/>
              <w:jc w:val="center"/>
              <w:rPr>
                <w:sz w:val="24"/>
              </w:rPr>
            </w:pPr>
            <w:r>
              <w:rPr>
                <w:rFonts w:hAnsiTheme="minorEastAsia"/>
                <w:sz w:val="24"/>
              </w:rPr>
              <w:t>合同金额</w:t>
            </w:r>
          </w:p>
        </w:tc>
      </w:tr>
      <w:tr w14:paraId="076D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FDB0320">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641681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7BB2A1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9EBBC8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270878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7F5735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3909FFA">
            <w:pPr>
              <w:snapToGrid w:val="0"/>
              <w:jc w:val="center"/>
              <w:rPr>
                <w:sz w:val="24"/>
              </w:rPr>
            </w:pPr>
          </w:p>
        </w:tc>
      </w:tr>
      <w:tr w14:paraId="7ADC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E365B0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00D8D8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8AEDB9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BC900D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090428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3545EB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292AD04">
            <w:pPr>
              <w:snapToGrid w:val="0"/>
              <w:jc w:val="center"/>
              <w:rPr>
                <w:sz w:val="24"/>
              </w:rPr>
            </w:pPr>
          </w:p>
        </w:tc>
      </w:tr>
      <w:tr w14:paraId="46CC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264788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9054B5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D4193F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EBBFD9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566E0D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E65703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32C246A">
            <w:pPr>
              <w:snapToGrid w:val="0"/>
              <w:jc w:val="center"/>
              <w:rPr>
                <w:sz w:val="24"/>
              </w:rPr>
            </w:pPr>
          </w:p>
        </w:tc>
      </w:tr>
      <w:tr w14:paraId="0214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E214CC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AD9564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70D611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D50032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091D30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8A8806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452D953">
            <w:pPr>
              <w:snapToGrid w:val="0"/>
              <w:jc w:val="center"/>
              <w:rPr>
                <w:sz w:val="24"/>
              </w:rPr>
            </w:pPr>
          </w:p>
        </w:tc>
      </w:tr>
      <w:tr w14:paraId="6906D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F7F373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BD8C04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BDCA0D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DDCD89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D24C90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2D7CD0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6610C65">
            <w:pPr>
              <w:snapToGrid w:val="0"/>
              <w:jc w:val="center"/>
              <w:rPr>
                <w:sz w:val="24"/>
              </w:rPr>
            </w:pPr>
          </w:p>
        </w:tc>
      </w:tr>
      <w:tr w14:paraId="09D2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3B5B62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78EDE3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E8EBCC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FED7A9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0B3421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D057E0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B87479A">
            <w:pPr>
              <w:snapToGrid w:val="0"/>
              <w:jc w:val="center"/>
              <w:rPr>
                <w:sz w:val="24"/>
              </w:rPr>
            </w:pPr>
          </w:p>
        </w:tc>
      </w:tr>
      <w:tr w14:paraId="1016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7E23C4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973672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5E8EB4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39CC0C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FE31FF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B4E0DD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C58A4EF">
            <w:pPr>
              <w:snapToGrid w:val="0"/>
              <w:jc w:val="center"/>
              <w:rPr>
                <w:sz w:val="24"/>
              </w:rPr>
            </w:pPr>
          </w:p>
        </w:tc>
      </w:tr>
      <w:tr w14:paraId="61D2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E13B2D0">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063F51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7FD0E3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4D68C9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C8EBE2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C55D92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C09DD20">
            <w:pPr>
              <w:snapToGrid w:val="0"/>
              <w:jc w:val="center"/>
              <w:rPr>
                <w:sz w:val="24"/>
              </w:rPr>
            </w:pPr>
          </w:p>
        </w:tc>
      </w:tr>
      <w:tr w14:paraId="75A7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268F0A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2D970F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6A845B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8153F4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125275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5BFFE5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6AB581D">
            <w:pPr>
              <w:snapToGrid w:val="0"/>
              <w:jc w:val="center"/>
              <w:rPr>
                <w:sz w:val="24"/>
              </w:rPr>
            </w:pPr>
          </w:p>
        </w:tc>
      </w:tr>
      <w:tr w14:paraId="4653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E4C2B8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D82DAE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312BB3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2708FB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CA3F52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575016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C7146BC">
            <w:pPr>
              <w:snapToGrid w:val="0"/>
              <w:jc w:val="center"/>
              <w:rPr>
                <w:sz w:val="24"/>
              </w:rPr>
            </w:pPr>
          </w:p>
        </w:tc>
      </w:tr>
      <w:tr w14:paraId="334E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66D0D3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9F5945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635E23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DA57B3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BD2354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FFF96B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0858729">
            <w:pPr>
              <w:snapToGrid w:val="0"/>
              <w:jc w:val="center"/>
              <w:rPr>
                <w:sz w:val="24"/>
              </w:rPr>
            </w:pPr>
          </w:p>
        </w:tc>
      </w:tr>
    </w:tbl>
    <w:p w14:paraId="1A377EF5">
      <w:pPr>
        <w:spacing w:line="560" w:lineRule="exact"/>
        <w:rPr>
          <w:sz w:val="24"/>
        </w:rPr>
      </w:pPr>
      <w:r>
        <w:rPr>
          <w:rFonts w:hAnsiTheme="minorEastAsia"/>
          <w:sz w:val="24"/>
        </w:rPr>
        <w:t>备注：若招标文件第二部分评分因素及评标标准中要求提供业绩的，投标人所列业绩应按其要求将证明材料按顺序附后。</w:t>
      </w:r>
    </w:p>
    <w:p w14:paraId="106F523C">
      <w:pPr>
        <w:spacing w:line="460" w:lineRule="exact"/>
        <w:rPr>
          <w:b/>
          <w:sz w:val="24"/>
        </w:rPr>
      </w:pPr>
    </w:p>
    <w:p w14:paraId="78150BCD">
      <w:pPr>
        <w:spacing w:line="460" w:lineRule="exact"/>
        <w:rPr>
          <w:b/>
          <w:sz w:val="24"/>
        </w:rPr>
      </w:pPr>
    </w:p>
    <w:p w14:paraId="3A947BA5">
      <w:pPr>
        <w:spacing w:line="460" w:lineRule="exact"/>
        <w:rPr>
          <w:b/>
          <w:sz w:val="24"/>
        </w:rPr>
      </w:pPr>
    </w:p>
    <w:p w14:paraId="7620BB3E">
      <w:pPr>
        <w:spacing w:line="460" w:lineRule="exact"/>
        <w:rPr>
          <w:b/>
          <w:sz w:val="24"/>
        </w:rPr>
      </w:pPr>
    </w:p>
    <w:p w14:paraId="7C38165C">
      <w:pPr>
        <w:spacing w:line="360" w:lineRule="auto"/>
        <w:ind w:right="84" w:firstLine="224" w:firstLineChars="100"/>
        <w:rPr>
          <w:sz w:val="24"/>
        </w:rPr>
      </w:pPr>
      <w:r>
        <w:rPr>
          <w:rFonts w:hAnsiTheme="minorEastAsia"/>
          <w:sz w:val="24"/>
        </w:rPr>
        <w:t>投标人名称：</w:t>
      </w:r>
    </w:p>
    <w:p w14:paraId="2109C166">
      <w:pPr>
        <w:spacing w:line="360" w:lineRule="auto"/>
        <w:ind w:right="84" w:firstLine="224" w:firstLineChars="100"/>
        <w:rPr>
          <w:sz w:val="24"/>
        </w:rPr>
      </w:pPr>
    </w:p>
    <w:p w14:paraId="0069EF55">
      <w:pPr>
        <w:spacing w:line="360" w:lineRule="auto"/>
        <w:ind w:right="84" w:firstLine="224" w:firstLineChars="100"/>
        <w:rPr>
          <w:position w:val="-40"/>
          <w:sz w:val="24"/>
        </w:rPr>
      </w:pPr>
      <w:r>
        <w:rPr>
          <w:rFonts w:hAnsiTheme="minorEastAsia"/>
          <w:sz w:val="24"/>
        </w:rPr>
        <w:t>日期</w:t>
      </w:r>
      <w:r>
        <w:rPr>
          <w:b/>
          <w:sz w:val="24"/>
        </w:rPr>
        <w:br w:type="page"/>
      </w:r>
    </w:p>
    <w:p w14:paraId="1663098E">
      <w:pPr>
        <w:spacing w:line="460" w:lineRule="exact"/>
        <w:rPr>
          <w:b/>
          <w:sz w:val="24"/>
        </w:rPr>
      </w:pPr>
      <w:r>
        <w:rPr>
          <w:rFonts w:hAnsiTheme="minorEastAsia"/>
          <w:b/>
          <w:sz w:val="24"/>
        </w:rPr>
        <w:t>附件</w:t>
      </w:r>
      <w:r>
        <w:rPr>
          <w:b/>
          <w:sz w:val="24"/>
        </w:rPr>
        <w:t>8</w:t>
      </w:r>
    </w:p>
    <w:p w14:paraId="124B2990">
      <w:pPr>
        <w:autoSpaceDN w:val="0"/>
        <w:spacing w:line="360" w:lineRule="auto"/>
        <w:jc w:val="center"/>
        <w:rPr>
          <w:b/>
          <w:bCs/>
          <w:sz w:val="24"/>
        </w:rPr>
      </w:pPr>
      <w:r>
        <w:rPr>
          <w:b/>
          <w:bCs/>
          <w:sz w:val="24"/>
        </w:rPr>
        <w:t>法定代表人授权书</w:t>
      </w:r>
    </w:p>
    <w:p w14:paraId="3B1BC363">
      <w:pPr>
        <w:spacing w:line="360" w:lineRule="auto"/>
        <w:rPr>
          <w:sz w:val="24"/>
          <w:szCs w:val="21"/>
        </w:rPr>
      </w:pPr>
    </w:p>
    <w:p w14:paraId="2D152923">
      <w:pPr>
        <w:spacing w:line="360" w:lineRule="auto"/>
        <w:rPr>
          <w:sz w:val="24"/>
          <w:szCs w:val="21"/>
        </w:rPr>
      </w:pPr>
      <w:r>
        <w:rPr>
          <w:sz w:val="24"/>
          <w:szCs w:val="21"/>
        </w:rPr>
        <w:t>致：天津市</w:t>
      </w:r>
      <w:r>
        <w:rPr>
          <w:rFonts w:hint="eastAsia"/>
          <w:sz w:val="24"/>
          <w:szCs w:val="21"/>
        </w:rPr>
        <w:t>滨海新区</w:t>
      </w:r>
      <w:r>
        <w:rPr>
          <w:sz w:val="24"/>
          <w:szCs w:val="21"/>
        </w:rPr>
        <w:t>政府采购中心</w:t>
      </w:r>
    </w:p>
    <w:p w14:paraId="65CB123A">
      <w:pPr>
        <w:snapToGrid w:val="0"/>
        <w:spacing w:line="360" w:lineRule="auto"/>
        <w:ind w:firstLine="448" w:firstLineChars="200"/>
        <w:rPr>
          <w:sz w:val="24"/>
          <w:szCs w:val="21"/>
        </w:rPr>
      </w:pPr>
      <w:r>
        <w:rPr>
          <w:rFonts w:hint="eastAsia"/>
          <w:sz w:val="24"/>
          <w:szCs w:val="21"/>
        </w:rPr>
        <w:t>我单位授权委托在职职工</w:t>
      </w:r>
      <w:r>
        <w:rPr>
          <w:sz w:val="24"/>
          <w:szCs w:val="21"/>
        </w:rPr>
        <w:t>_______________</w:t>
      </w:r>
      <w:r>
        <w:rPr>
          <w:rFonts w:hint="eastAsia"/>
          <w:sz w:val="24"/>
          <w:szCs w:val="21"/>
        </w:rPr>
        <w:t>（姓名，职务）（身份证号码：</w:t>
      </w:r>
      <w:r>
        <w:rPr>
          <w:sz w:val="24"/>
          <w:szCs w:val="21"/>
        </w:rPr>
        <w:t>____________________</w:t>
      </w:r>
      <w:r>
        <w:rPr>
          <w:rFonts w:hint="eastAsia"/>
          <w:sz w:val="24"/>
          <w:szCs w:val="21"/>
        </w:rPr>
        <w:t>，本月社保缴纳单位：</w:t>
      </w:r>
      <w:r>
        <w:rPr>
          <w:sz w:val="24"/>
          <w:szCs w:val="21"/>
          <w:u w:val="single"/>
        </w:rPr>
        <w:t xml:space="preserve">                    </w:t>
      </w:r>
      <w:r>
        <w:rPr>
          <w:sz w:val="24"/>
          <w:szCs w:val="21"/>
        </w:rPr>
        <w:t xml:space="preserve"> </w:t>
      </w:r>
      <w:r>
        <w:rPr>
          <w:rFonts w:hint="eastAsia"/>
          <w:sz w:val="24"/>
          <w:szCs w:val="21"/>
        </w:rPr>
        <w:t>，联系电话：</w:t>
      </w:r>
      <w:r>
        <w:rPr>
          <w:sz w:val="24"/>
          <w:szCs w:val="21"/>
        </w:rPr>
        <w:t>_______________</w:t>
      </w:r>
      <w:r>
        <w:rPr>
          <w:rFonts w:hint="eastAsia"/>
          <w:sz w:val="24"/>
          <w:szCs w:val="21"/>
        </w:rPr>
        <w:t>）</w:t>
      </w:r>
      <w:r>
        <w:rPr>
          <w:sz w:val="24"/>
          <w:szCs w:val="21"/>
        </w:rPr>
        <w:t>作为投标代表人以我方的名义参加贵中心______________________项目（项目编号：_______________）的投标活动，并代表我方全权办理针对上述项目的投标、开标、投标文件澄清、</w:t>
      </w:r>
      <w:r>
        <w:rPr>
          <w:rFonts w:hint="eastAsia"/>
          <w:sz w:val="24"/>
          <w:szCs w:val="21"/>
        </w:rPr>
        <w:t>说明或者更正等一切具体事务和签署相关文件。</w:t>
      </w:r>
    </w:p>
    <w:p w14:paraId="10547898">
      <w:pPr>
        <w:spacing w:line="360" w:lineRule="auto"/>
        <w:ind w:firstLine="448" w:firstLineChars="200"/>
        <w:rPr>
          <w:sz w:val="24"/>
          <w:szCs w:val="21"/>
        </w:rPr>
      </w:pPr>
      <w:r>
        <w:rPr>
          <w:rFonts w:hint="eastAsia"/>
          <w:sz w:val="24"/>
          <w:szCs w:val="21"/>
        </w:rPr>
        <w:t>我方对投标代表人的签名事项负全部责任。</w:t>
      </w:r>
    </w:p>
    <w:p w14:paraId="44F65523">
      <w:pPr>
        <w:spacing w:line="360" w:lineRule="auto"/>
        <w:ind w:firstLine="448" w:firstLineChars="200"/>
        <w:rPr>
          <w:sz w:val="24"/>
          <w:szCs w:val="21"/>
        </w:rPr>
      </w:pPr>
      <w:r>
        <w:rPr>
          <w:rFonts w:hint="eastAsia"/>
          <w:sz w:val="24"/>
          <w:szCs w:val="21"/>
        </w:rPr>
        <w:t>我单位对填写的上述授权代表的社保缴纳单位信息的真实性负责，如有不实，愿承担相应的责任。</w:t>
      </w:r>
    </w:p>
    <w:p w14:paraId="6761038B">
      <w:pPr>
        <w:spacing w:line="360" w:lineRule="auto"/>
        <w:ind w:firstLine="448" w:firstLineChars="200"/>
        <w:rPr>
          <w:sz w:val="24"/>
          <w:szCs w:val="21"/>
        </w:rPr>
      </w:pPr>
      <w:r>
        <w:rPr>
          <w:rFonts w:hint="eastAsia"/>
          <w:sz w:val="24"/>
          <w:szCs w:val="21"/>
        </w:rPr>
        <w:t>本授权书至投标有效期结束前始终有效。</w:t>
      </w:r>
    </w:p>
    <w:p w14:paraId="09F11E75">
      <w:pPr>
        <w:spacing w:line="360" w:lineRule="auto"/>
        <w:ind w:firstLine="448" w:firstLineChars="200"/>
        <w:rPr>
          <w:sz w:val="24"/>
        </w:rPr>
      </w:pPr>
      <w:r>
        <w:rPr>
          <w:rFonts w:hint="eastAsia"/>
          <w:sz w:val="24"/>
          <w:szCs w:val="21"/>
        </w:rPr>
        <w:t>投标代表人无转委托权，特此委托。</w:t>
      </w:r>
    </w:p>
    <w:p w14:paraId="24919770">
      <w:pPr>
        <w:spacing w:line="360" w:lineRule="auto"/>
        <w:ind w:firstLine="448" w:firstLineChars="200"/>
        <w:rPr>
          <w:sz w:val="24"/>
        </w:rPr>
      </w:pPr>
    </w:p>
    <w:p w14:paraId="68C38BCC">
      <w:pPr>
        <w:spacing w:line="480" w:lineRule="auto"/>
        <w:ind w:right="480" w:firstLine="4032" w:firstLineChars="1800"/>
        <w:rPr>
          <w:sz w:val="24"/>
        </w:rPr>
      </w:pPr>
    </w:p>
    <w:p w14:paraId="1F4C5D11">
      <w:pPr>
        <w:spacing w:line="480" w:lineRule="auto"/>
        <w:jc w:val="center"/>
        <w:rPr>
          <w:sz w:val="24"/>
        </w:rPr>
      </w:pPr>
      <w:r>
        <w:rPr>
          <w:rFonts w:hint="eastAsia"/>
          <w:sz w:val="24"/>
        </w:rPr>
        <w:t xml:space="preserve">        </w:t>
      </w:r>
      <w:r>
        <w:rPr>
          <w:sz w:val="24"/>
        </w:rPr>
        <w:t>法定代表人签字或名章：</w:t>
      </w:r>
    </w:p>
    <w:p w14:paraId="1F7EA402">
      <w:pPr>
        <w:spacing w:line="480" w:lineRule="auto"/>
        <w:jc w:val="center"/>
        <w:rPr>
          <w:sz w:val="24"/>
        </w:rPr>
      </w:pP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14:paraId="637AA45D">
      <w:pPr>
        <w:spacing w:line="360" w:lineRule="auto"/>
        <w:ind w:firstLine="4704" w:firstLineChars="2100"/>
        <w:rPr>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5BE1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10745BB8">
            <w:pPr>
              <w:spacing w:line="360" w:lineRule="auto"/>
              <w:jc w:val="left"/>
              <w:rPr>
                <w:sz w:val="24"/>
              </w:rPr>
            </w:pPr>
            <w:r>
              <w:rPr>
                <w:sz w:val="24"/>
              </w:rPr>
              <w:t>投标代表人身份证正面</w:t>
            </w:r>
          </w:p>
          <w:p w14:paraId="2C354CBA">
            <w:pPr>
              <w:spacing w:line="360" w:lineRule="auto"/>
              <w:jc w:val="left"/>
              <w:rPr>
                <w:sz w:val="24"/>
              </w:rPr>
            </w:pPr>
          </w:p>
          <w:p w14:paraId="5EB67C36">
            <w:pPr>
              <w:spacing w:line="360" w:lineRule="auto"/>
              <w:jc w:val="left"/>
              <w:rPr>
                <w:sz w:val="24"/>
              </w:rPr>
            </w:pPr>
          </w:p>
          <w:p w14:paraId="37D41C24">
            <w:pPr>
              <w:spacing w:line="360" w:lineRule="auto"/>
              <w:jc w:val="left"/>
              <w:rPr>
                <w:sz w:val="24"/>
              </w:rPr>
            </w:pPr>
          </w:p>
          <w:p w14:paraId="2B824CF5">
            <w:pPr>
              <w:spacing w:line="360" w:lineRule="auto"/>
              <w:jc w:val="left"/>
              <w:rPr>
                <w:sz w:val="24"/>
              </w:rPr>
            </w:pPr>
          </w:p>
          <w:p w14:paraId="22D6AC22">
            <w:pPr>
              <w:spacing w:line="360" w:lineRule="auto"/>
              <w:jc w:val="left"/>
              <w:rPr>
                <w:sz w:val="24"/>
              </w:rPr>
            </w:pPr>
          </w:p>
        </w:tc>
        <w:tc>
          <w:tcPr>
            <w:tcW w:w="4264" w:type="dxa"/>
          </w:tcPr>
          <w:p w14:paraId="7698CBC1">
            <w:pPr>
              <w:spacing w:line="360" w:lineRule="auto"/>
              <w:jc w:val="left"/>
              <w:rPr>
                <w:sz w:val="24"/>
              </w:rPr>
            </w:pPr>
            <w:r>
              <w:rPr>
                <w:sz w:val="24"/>
              </w:rPr>
              <w:t>投标代表人身份证背面</w:t>
            </w:r>
          </w:p>
        </w:tc>
      </w:tr>
    </w:tbl>
    <w:p w14:paraId="27067FA9">
      <w:pPr>
        <w:spacing w:line="360" w:lineRule="auto"/>
        <w:rPr>
          <w:sz w:val="24"/>
        </w:rPr>
      </w:pPr>
      <w:r>
        <w:rPr>
          <w:sz w:val="24"/>
        </w:rPr>
        <w:t>此授权书填写完毕后打印，由法定代表人签字或加盖名章，扫描后放入电子投标文件。</w:t>
      </w:r>
    </w:p>
    <w:p w14:paraId="57D7495A">
      <w:pPr>
        <w:widowControl/>
        <w:jc w:val="left"/>
        <w:rPr>
          <w:sz w:val="24"/>
        </w:rPr>
      </w:pPr>
      <w:r>
        <w:rPr>
          <w:sz w:val="24"/>
        </w:rPr>
        <w:br w:type="page"/>
      </w:r>
    </w:p>
    <w:p w14:paraId="087882DE">
      <w:pPr>
        <w:spacing w:line="460" w:lineRule="exact"/>
        <w:ind w:right="444"/>
        <w:rPr>
          <w:b/>
          <w:sz w:val="24"/>
        </w:rPr>
      </w:pPr>
      <w:r>
        <w:rPr>
          <w:rFonts w:hAnsiTheme="minorEastAsia"/>
          <w:b/>
          <w:sz w:val="24"/>
        </w:rPr>
        <w:t>附件</w:t>
      </w:r>
      <w:r>
        <w:rPr>
          <w:b/>
          <w:sz w:val="24"/>
        </w:rPr>
        <w:t>9</w:t>
      </w:r>
      <w:r>
        <w:rPr>
          <w:rFonts w:hint="eastAsia"/>
          <w:b/>
          <w:sz w:val="24"/>
        </w:rPr>
        <w:t>-1</w:t>
      </w:r>
    </w:p>
    <w:p w14:paraId="438D9C7A">
      <w:pPr>
        <w:autoSpaceDE w:val="0"/>
        <w:autoSpaceDN w:val="0"/>
        <w:spacing w:line="480" w:lineRule="auto"/>
        <w:jc w:val="center"/>
        <w:rPr>
          <w:sz w:val="24"/>
          <w:szCs w:val="24"/>
        </w:rPr>
      </w:pPr>
      <w:r>
        <w:rPr>
          <w:rFonts w:hint="eastAsia" w:hAnsiTheme="minorEastAsia"/>
          <w:b/>
          <w:sz w:val="24"/>
          <w:szCs w:val="24"/>
        </w:rPr>
        <w:t>中小企业声明函（服务）</w:t>
      </w:r>
    </w:p>
    <w:p w14:paraId="5B10FCA0">
      <w:pPr>
        <w:widowControl/>
        <w:spacing w:line="500" w:lineRule="exact"/>
        <w:ind w:firstLine="448" w:firstLineChars="200"/>
        <w:jc w:val="left"/>
        <w:rPr>
          <w:sz w:val="24"/>
          <w:szCs w:val="24"/>
        </w:rPr>
      </w:pPr>
      <w:r>
        <w:rPr>
          <w:rFonts w:hint="eastAsia" w:hAnsiTheme="minorEastAsia"/>
          <w:sz w:val="24"/>
          <w:szCs w:val="24"/>
        </w:rPr>
        <w:t>本公司（联合体）郑重声明，根据《政府采购促进中小企业发展管理办法》（财库﹝</w:t>
      </w:r>
      <w:r>
        <w:rPr>
          <w:sz w:val="24"/>
          <w:szCs w:val="24"/>
        </w:rPr>
        <w:t>2020</w:t>
      </w:r>
      <w:r>
        <w:rPr>
          <w:rFonts w:hint="eastAsia" w:hAnsiTheme="minorEastAsia"/>
          <w:sz w:val="24"/>
          <w:szCs w:val="24"/>
        </w:rPr>
        <w:t>﹞</w:t>
      </w:r>
      <w:r>
        <w:rPr>
          <w:sz w:val="24"/>
          <w:szCs w:val="24"/>
        </w:rPr>
        <w:t>46</w:t>
      </w:r>
      <w:r>
        <w:rPr>
          <w:rFonts w:hint="eastAsia" w:hAnsiTheme="minorEastAsia"/>
          <w:sz w:val="24"/>
          <w:szCs w:val="24"/>
        </w:rPr>
        <w:t>号）的规定，本公司（联合体）参加</w:t>
      </w:r>
      <w:r>
        <w:rPr>
          <w:rFonts w:hint="eastAsia" w:hAnsiTheme="minorEastAsia"/>
          <w:b/>
          <w:sz w:val="24"/>
          <w:szCs w:val="24"/>
          <w:u w:val="single"/>
        </w:rPr>
        <w:t>（请填写项目名称）</w:t>
      </w:r>
      <w:r>
        <w:rPr>
          <w:rFonts w:hint="eastAsia" w:hAnsiTheme="minorEastAsia"/>
          <w:sz w:val="24"/>
          <w:szCs w:val="24"/>
        </w:rPr>
        <w:t>采购活动，服务全部由符合政策要求的中小企业承接。相关企业（含联合体中的中小企业、签订分包意向协议的中小企业）的具体情况如下：</w:t>
      </w:r>
    </w:p>
    <w:p w14:paraId="1804D66C">
      <w:pPr>
        <w:autoSpaceDE w:val="0"/>
        <w:autoSpaceDN w:val="0"/>
        <w:spacing w:line="500" w:lineRule="exact"/>
        <w:ind w:firstLine="448" w:firstLineChars="200"/>
        <w:jc w:val="left"/>
        <w:rPr>
          <w:sz w:val="24"/>
          <w:szCs w:val="24"/>
        </w:rPr>
      </w:pPr>
      <w:r>
        <w:rPr>
          <w:sz w:val="24"/>
          <w:szCs w:val="24"/>
        </w:rPr>
        <w:t>1.</w:t>
      </w:r>
      <w:r>
        <w:rPr>
          <w:rFonts w:hint="eastAsia" w:hAnsiTheme="minorEastAsia"/>
          <w:sz w:val="24"/>
          <w:szCs w:val="24"/>
          <w:u w:val="single"/>
        </w:rPr>
        <w:t>（</w:t>
      </w:r>
      <w:r>
        <w:rPr>
          <w:rFonts w:hint="eastAsia" w:hAnsiTheme="minorEastAsia"/>
          <w:b/>
          <w:sz w:val="24"/>
          <w:szCs w:val="24"/>
        </w:rPr>
        <w:t>请填写标的名称</w:t>
      </w:r>
      <w:r>
        <w:rPr>
          <w:rFonts w:hint="eastAsia" w:hAnsiTheme="minorEastAsia"/>
          <w:sz w:val="24"/>
          <w:szCs w:val="24"/>
        </w:rPr>
        <w:t>），属于</w:t>
      </w:r>
      <w:r>
        <w:rPr>
          <w:rFonts w:hint="eastAsia" w:hAnsiTheme="minorEastAsia"/>
          <w:b/>
          <w:sz w:val="24"/>
          <w:szCs w:val="24"/>
        </w:rPr>
        <w:t>（请填写本项目采购文件中明确的所属行业）</w:t>
      </w:r>
      <w:r>
        <w:rPr>
          <w:rFonts w:hint="eastAsia" w:hAnsiTheme="minorEastAsia"/>
          <w:sz w:val="24"/>
          <w:szCs w:val="24"/>
        </w:rPr>
        <w:t>行业；承接企业为</w:t>
      </w:r>
      <w:r>
        <w:rPr>
          <w:rFonts w:hint="eastAsia" w:hAnsiTheme="minorEastAsia"/>
          <w:sz w:val="24"/>
          <w:szCs w:val="24"/>
          <w:u w:val="single"/>
        </w:rPr>
        <w:t>（</w:t>
      </w:r>
      <w:r>
        <w:rPr>
          <w:rFonts w:hint="eastAsia" w:hAnsiTheme="minorEastAsia"/>
          <w:b/>
          <w:sz w:val="24"/>
          <w:szCs w:val="24"/>
        </w:rPr>
        <w:t>请填写承接该标的企业名称</w:t>
      </w:r>
      <w:r>
        <w:rPr>
          <w:rFonts w:hint="eastAsia" w:hAnsiTheme="minorEastAsia"/>
          <w:sz w:val="24"/>
          <w:szCs w:val="24"/>
        </w:rPr>
        <w:t>），从业人员人，营业收入为万元，资产总额为万元，属于</w:t>
      </w:r>
      <w:r>
        <w:rPr>
          <w:rFonts w:hint="eastAsia" w:hAnsiTheme="minorEastAsia"/>
          <w:sz w:val="24"/>
          <w:szCs w:val="24"/>
          <w:u w:val="single"/>
        </w:rPr>
        <w:t>（</w:t>
      </w:r>
      <w:r>
        <w:rPr>
          <w:rFonts w:hint="eastAsia" w:hAnsiTheme="minorEastAsia"/>
          <w:b/>
          <w:sz w:val="24"/>
          <w:szCs w:val="24"/>
        </w:rPr>
        <w:t>请根据中小企业划分标准填写中型企业</w:t>
      </w:r>
      <w:r>
        <w:rPr>
          <w:b/>
          <w:sz w:val="24"/>
          <w:szCs w:val="24"/>
        </w:rPr>
        <w:t>/</w:t>
      </w:r>
      <w:r>
        <w:rPr>
          <w:rFonts w:hint="eastAsia" w:hAnsiTheme="minorEastAsia"/>
          <w:b/>
          <w:sz w:val="24"/>
          <w:szCs w:val="24"/>
        </w:rPr>
        <w:t>小型企业</w:t>
      </w:r>
      <w:r>
        <w:rPr>
          <w:b/>
          <w:sz w:val="24"/>
          <w:szCs w:val="24"/>
        </w:rPr>
        <w:t>/</w:t>
      </w:r>
      <w:r>
        <w:rPr>
          <w:rFonts w:hint="eastAsia" w:hAnsiTheme="minorEastAsia"/>
          <w:b/>
          <w:sz w:val="24"/>
          <w:szCs w:val="24"/>
        </w:rPr>
        <w:t>微型企业</w:t>
      </w:r>
      <w:r>
        <w:rPr>
          <w:rFonts w:hint="eastAsia" w:hAnsiTheme="minorEastAsia"/>
          <w:sz w:val="24"/>
          <w:szCs w:val="24"/>
        </w:rPr>
        <w:t>）；</w:t>
      </w:r>
    </w:p>
    <w:p w14:paraId="48B2DCBC">
      <w:pPr>
        <w:autoSpaceDE w:val="0"/>
        <w:autoSpaceDN w:val="0"/>
        <w:spacing w:line="500" w:lineRule="exact"/>
        <w:ind w:firstLine="448" w:firstLineChars="200"/>
        <w:jc w:val="left"/>
        <w:rPr>
          <w:sz w:val="24"/>
          <w:szCs w:val="24"/>
        </w:rPr>
      </w:pPr>
      <w:r>
        <w:rPr>
          <w:sz w:val="24"/>
          <w:szCs w:val="24"/>
        </w:rPr>
        <w:t>2.</w:t>
      </w:r>
      <w:r>
        <w:rPr>
          <w:rFonts w:hint="eastAsia" w:hAnsiTheme="minorEastAsia"/>
          <w:sz w:val="24"/>
          <w:szCs w:val="24"/>
          <w:u w:val="single"/>
        </w:rPr>
        <w:t>（</w:t>
      </w:r>
      <w:r>
        <w:rPr>
          <w:rFonts w:hint="eastAsia" w:hAnsiTheme="minorEastAsia"/>
          <w:b/>
          <w:sz w:val="24"/>
          <w:szCs w:val="24"/>
        </w:rPr>
        <w:t>请填写标的名称</w:t>
      </w:r>
      <w:r>
        <w:rPr>
          <w:rFonts w:hint="eastAsia" w:hAnsiTheme="minorEastAsia"/>
          <w:sz w:val="24"/>
          <w:szCs w:val="24"/>
        </w:rPr>
        <w:t>），属于</w:t>
      </w:r>
      <w:r>
        <w:rPr>
          <w:rFonts w:hint="eastAsia" w:hAnsiTheme="minorEastAsia"/>
          <w:b/>
          <w:sz w:val="24"/>
          <w:szCs w:val="24"/>
        </w:rPr>
        <w:t>（请填写本项目采购文件中明确的所属行业）</w:t>
      </w:r>
      <w:r>
        <w:rPr>
          <w:rFonts w:hint="eastAsia" w:hAnsiTheme="minorEastAsia"/>
          <w:sz w:val="24"/>
          <w:szCs w:val="24"/>
        </w:rPr>
        <w:t>行业；承接企业为</w:t>
      </w:r>
      <w:r>
        <w:rPr>
          <w:rFonts w:hint="eastAsia" w:hAnsiTheme="minorEastAsia"/>
          <w:sz w:val="24"/>
          <w:szCs w:val="24"/>
          <w:u w:val="single"/>
        </w:rPr>
        <w:t>（</w:t>
      </w:r>
      <w:r>
        <w:rPr>
          <w:rFonts w:hint="eastAsia" w:hAnsiTheme="minorEastAsia"/>
          <w:b/>
          <w:sz w:val="24"/>
          <w:szCs w:val="24"/>
        </w:rPr>
        <w:t>请填写承接该标的企业名称</w:t>
      </w:r>
      <w:r>
        <w:rPr>
          <w:rFonts w:hint="eastAsia" w:hAnsiTheme="minorEastAsia"/>
          <w:sz w:val="24"/>
          <w:szCs w:val="24"/>
        </w:rPr>
        <w:t>），从业人员人，营业收入为万元，资产总额为万元，属于</w:t>
      </w:r>
      <w:r>
        <w:rPr>
          <w:rFonts w:hint="eastAsia" w:hAnsiTheme="minorEastAsia"/>
          <w:sz w:val="24"/>
          <w:szCs w:val="24"/>
          <w:u w:val="single"/>
        </w:rPr>
        <w:t>（</w:t>
      </w:r>
      <w:r>
        <w:rPr>
          <w:rFonts w:hint="eastAsia" w:hAnsiTheme="minorEastAsia"/>
          <w:b/>
          <w:sz w:val="24"/>
          <w:szCs w:val="24"/>
        </w:rPr>
        <w:t>请根据中小企业划分标准填写中型企业</w:t>
      </w:r>
      <w:r>
        <w:rPr>
          <w:b/>
          <w:sz w:val="24"/>
          <w:szCs w:val="24"/>
        </w:rPr>
        <w:t>/</w:t>
      </w:r>
      <w:r>
        <w:rPr>
          <w:rFonts w:hint="eastAsia" w:hAnsiTheme="minorEastAsia"/>
          <w:b/>
          <w:sz w:val="24"/>
          <w:szCs w:val="24"/>
        </w:rPr>
        <w:t>小型企业</w:t>
      </w:r>
      <w:r>
        <w:rPr>
          <w:b/>
          <w:sz w:val="24"/>
          <w:szCs w:val="24"/>
        </w:rPr>
        <w:t>/</w:t>
      </w:r>
      <w:r>
        <w:rPr>
          <w:rFonts w:hint="eastAsia" w:hAnsiTheme="minorEastAsia"/>
          <w:b/>
          <w:sz w:val="24"/>
          <w:szCs w:val="24"/>
        </w:rPr>
        <w:t>微型企业</w:t>
      </w:r>
      <w:r>
        <w:rPr>
          <w:rFonts w:hint="eastAsia" w:hAnsiTheme="minorEastAsia"/>
          <w:sz w:val="24"/>
          <w:szCs w:val="24"/>
        </w:rPr>
        <w:t>）；</w:t>
      </w:r>
    </w:p>
    <w:p w14:paraId="2E6EC2A4">
      <w:pPr>
        <w:autoSpaceDE w:val="0"/>
        <w:autoSpaceDN w:val="0"/>
        <w:spacing w:line="500" w:lineRule="exact"/>
        <w:ind w:left="641"/>
        <w:jc w:val="left"/>
        <w:rPr>
          <w:sz w:val="24"/>
          <w:szCs w:val="24"/>
        </w:rPr>
      </w:pPr>
      <w:r>
        <w:rPr>
          <w:sz w:val="24"/>
          <w:szCs w:val="24"/>
        </w:rPr>
        <w:t>……</w:t>
      </w:r>
    </w:p>
    <w:p w14:paraId="7E2D0C6B">
      <w:pPr>
        <w:autoSpaceDE w:val="0"/>
        <w:autoSpaceDN w:val="0"/>
        <w:spacing w:line="500" w:lineRule="exact"/>
        <w:ind w:firstLine="448" w:firstLineChars="200"/>
        <w:jc w:val="left"/>
        <w:rPr>
          <w:sz w:val="24"/>
          <w:szCs w:val="24"/>
        </w:rPr>
      </w:pPr>
      <w:r>
        <w:rPr>
          <w:rFonts w:hint="eastAsia" w:hAnsiTheme="minorEastAsia"/>
          <w:sz w:val="24"/>
          <w:szCs w:val="24"/>
        </w:rPr>
        <w:t>以上企业，不属于大型企业的分支机构，不存在控股股东为大型企业的情形，也不存在与大型企业的负责人为同一人的情形。</w:t>
      </w:r>
    </w:p>
    <w:p w14:paraId="4D02D0E6">
      <w:pPr>
        <w:autoSpaceDE w:val="0"/>
        <w:autoSpaceDN w:val="0"/>
        <w:spacing w:line="500" w:lineRule="exact"/>
        <w:ind w:firstLine="448" w:firstLineChars="200"/>
        <w:jc w:val="left"/>
        <w:rPr>
          <w:sz w:val="24"/>
          <w:szCs w:val="24"/>
        </w:rPr>
      </w:pPr>
      <w:r>
        <w:rPr>
          <w:rFonts w:hint="eastAsia" w:hAnsiTheme="minorEastAsia"/>
          <w:sz w:val="24"/>
          <w:szCs w:val="24"/>
        </w:rPr>
        <w:t>本企业对上述声明内容的真实性负责。如有虚假，将依法承担相应责任。</w:t>
      </w:r>
    </w:p>
    <w:p w14:paraId="6553E3FF">
      <w:pPr>
        <w:autoSpaceDE w:val="0"/>
        <w:autoSpaceDN w:val="0"/>
        <w:spacing w:line="500" w:lineRule="exact"/>
        <w:ind w:left="3840"/>
        <w:jc w:val="left"/>
        <w:rPr>
          <w:sz w:val="24"/>
          <w:szCs w:val="24"/>
        </w:rPr>
      </w:pPr>
      <w:r>
        <w:rPr>
          <w:rFonts w:hint="eastAsia" w:hAnsiTheme="minorEastAsia"/>
          <w:sz w:val="24"/>
          <w:szCs w:val="24"/>
        </w:rPr>
        <w:t>投标人名称：</w:t>
      </w:r>
    </w:p>
    <w:p w14:paraId="5FD3A6C2">
      <w:pPr>
        <w:autoSpaceDE w:val="0"/>
        <w:autoSpaceDN w:val="0"/>
        <w:spacing w:line="500" w:lineRule="exact"/>
        <w:ind w:left="3840"/>
        <w:jc w:val="left"/>
        <w:rPr>
          <w:sz w:val="32"/>
        </w:rPr>
      </w:pPr>
      <w:r>
        <w:rPr>
          <w:rFonts w:hint="eastAsia" w:hAnsiTheme="minorEastAsia"/>
          <w:sz w:val="24"/>
          <w:szCs w:val="24"/>
        </w:rPr>
        <w:t>日期：</w:t>
      </w:r>
    </w:p>
    <w:p w14:paraId="17DAFE5E">
      <w:pPr>
        <w:spacing w:line="360" w:lineRule="auto"/>
        <w:ind w:right="84" w:firstLine="224" w:firstLineChars="100"/>
        <w:rPr>
          <w:b/>
          <w:sz w:val="24"/>
          <w:szCs w:val="24"/>
        </w:rPr>
      </w:pPr>
      <w:r>
        <w:rPr>
          <w:rFonts w:hint="eastAsia" w:hAnsiTheme="minorEastAsia"/>
          <w:b/>
          <w:sz w:val="24"/>
          <w:szCs w:val="24"/>
        </w:rPr>
        <w:t>注：</w:t>
      </w:r>
    </w:p>
    <w:p w14:paraId="7B4EB0E4">
      <w:pPr>
        <w:spacing w:line="360" w:lineRule="auto"/>
        <w:ind w:right="84" w:firstLine="224" w:firstLineChars="100"/>
        <w:rPr>
          <w:b/>
          <w:sz w:val="24"/>
          <w:szCs w:val="24"/>
        </w:rPr>
      </w:pPr>
      <w:r>
        <w:rPr>
          <w:b/>
          <w:sz w:val="24"/>
          <w:szCs w:val="24"/>
        </w:rPr>
        <w:t>1.</w:t>
      </w:r>
      <w:r>
        <w:rPr>
          <w:rFonts w:hint="eastAsia" w:hAnsiTheme="minorEastAsia"/>
          <w:b/>
          <w:sz w:val="24"/>
          <w:szCs w:val="24"/>
        </w:rPr>
        <w:t>标的名称须按照采购文件中明确的标的名称进行填写；所属行业须按照采购文件中明确的所属行业进行填写，否则不享受中小企业扶持政策。</w:t>
      </w:r>
    </w:p>
    <w:p w14:paraId="608143AD">
      <w:pPr>
        <w:spacing w:line="360" w:lineRule="auto"/>
        <w:ind w:right="84" w:firstLine="224" w:firstLineChars="100"/>
        <w:rPr>
          <w:b/>
          <w:sz w:val="24"/>
          <w:szCs w:val="24"/>
        </w:rPr>
      </w:pPr>
      <w:r>
        <w:rPr>
          <w:b/>
          <w:sz w:val="24"/>
          <w:szCs w:val="24"/>
        </w:rPr>
        <w:t>2.</w:t>
      </w:r>
      <w:r>
        <w:rPr>
          <w:rFonts w:hint="eastAsia" w:hAnsiTheme="minorEastAsia"/>
          <w:b/>
          <w:sz w:val="24"/>
          <w:szCs w:val="24"/>
        </w:rPr>
        <w:t>从业人员、营业收入、资产总额填报上一年度数据，无上一年度数据的新成立企业可不填报。除新成立企业外，上表填写不全的，不享受中小企业扶持政策。</w:t>
      </w:r>
    </w:p>
    <w:p w14:paraId="4DF15BBC">
      <w:pPr>
        <w:spacing w:line="360" w:lineRule="auto"/>
        <w:ind w:right="84" w:firstLine="224" w:firstLineChars="100"/>
        <w:rPr>
          <w:b/>
          <w:sz w:val="24"/>
          <w:szCs w:val="24"/>
        </w:rPr>
      </w:pPr>
      <w:r>
        <w:rPr>
          <w:b/>
          <w:sz w:val="24"/>
          <w:szCs w:val="24"/>
        </w:rPr>
        <w:t>3.</w:t>
      </w:r>
      <w:r>
        <w:rPr>
          <w:rFonts w:hint="eastAsia" w:hAnsiTheme="minorEastAsia"/>
          <w:b/>
          <w:sz w:val="24"/>
          <w:szCs w:val="24"/>
        </w:rPr>
        <w:t>中标（成交）供应商享受中小企业扶持政策的，将随中标（成交）结果同时公告其《中小企业声明函》，接受社会监督。</w:t>
      </w:r>
    </w:p>
    <w:p w14:paraId="057FD676">
      <w:pPr>
        <w:autoSpaceDN w:val="0"/>
        <w:spacing w:line="360" w:lineRule="auto"/>
        <w:jc w:val="center"/>
        <w:rPr>
          <w:b/>
          <w:sz w:val="24"/>
        </w:rPr>
      </w:pPr>
      <w:r>
        <w:rPr>
          <w:b/>
          <w:sz w:val="24"/>
        </w:rPr>
        <w:br w:type="page"/>
      </w:r>
    </w:p>
    <w:p w14:paraId="14A6946A">
      <w:pPr>
        <w:autoSpaceDN w:val="0"/>
        <w:spacing w:line="360" w:lineRule="auto"/>
        <w:rPr>
          <w:b/>
          <w:sz w:val="24"/>
        </w:rPr>
      </w:pPr>
      <w:r>
        <w:rPr>
          <w:rFonts w:hint="eastAsia" w:hAnsiTheme="minorEastAsia"/>
          <w:b/>
          <w:sz w:val="24"/>
        </w:rPr>
        <w:t>附件</w:t>
      </w:r>
      <w:r>
        <w:rPr>
          <w:rFonts w:hint="eastAsia"/>
          <w:b/>
          <w:sz w:val="24"/>
        </w:rPr>
        <w:t>9-2</w:t>
      </w:r>
    </w:p>
    <w:p w14:paraId="15679498">
      <w:pPr>
        <w:autoSpaceDN w:val="0"/>
        <w:spacing w:line="360" w:lineRule="auto"/>
        <w:rPr>
          <w:b/>
          <w:bCs/>
          <w:sz w:val="24"/>
        </w:rPr>
      </w:pPr>
      <w:r>
        <w:rPr>
          <w:rFonts w:hint="eastAsia" w:hAnsiTheme="minorEastAsia"/>
          <w:b/>
          <w:kern w:val="0"/>
          <w:sz w:val="24"/>
          <w:szCs w:val="21"/>
        </w:rPr>
        <w:t>若投标人不是残疾人福利性单位，投标文件中可不提供此声明函</w:t>
      </w:r>
    </w:p>
    <w:p w14:paraId="0B4027E2">
      <w:pPr>
        <w:autoSpaceDN w:val="0"/>
        <w:spacing w:line="360" w:lineRule="auto"/>
        <w:jc w:val="center"/>
        <w:rPr>
          <w:b/>
          <w:bCs/>
          <w:sz w:val="24"/>
        </w:rPr>
      </w:pPr>
    </w:p>
    <w:p w14:paraId="515F6ACE">
      <w:pPr>
        <w:autoSpaceDN w:val="0"/>
        <w:spacing w:line="360" w:lineRule="auto"/>
        <w:jc w:val="center"/>
        <w:rPr>
          <w:b/>
          <w:bCs/>
          <w:sz w:val="24"/>
        </w:rPr>
      </w:pPr>
      <w:r>
        <w:rPr>
          <w:rFonts w:hint="eastAsia" w:hAnsiTheme="minorEastAsia"/>
          <w:b/>
          <w:bCs/>
          <w:sz w:val="24"/>
        </w:rPr>
        <w:t>残疾人福利性单位声明函</w:t>
      </w:r>
    </w:p>
    <w:p w14:paraId="081E0CD2">
      <w:pPr>
        <w:spacing w:line="588" w:lineRule="exact"/>
        <w:rPr>
          <w:b/>
          <w:spacing w:val="6"/>
          <w:sz w:val="30"/>
          <w:szCs w:val="30"/>
        </w:rPr>
      </w:pPr>
    </w:p>
    <w:p w14:paraId="266AF791">
      <w:pPr>
        <w:snapToGrid w:val="0"/>
        <w:spacing w:line="360" w:lineRule="auto"/>
        <w:ind w:firstLine="448" w:firstLineChars="200"/>
        <w:rPr>
          <w:sz w:val="24"/>
          <w:szCs w:val="21"/>
        </w:rPr>
      </w:pPr>
      <w:r>
        <w:rPr>
          <w:rFonts w:hint="eastAsia" w:hAnsiTheme="minorEastAsia"/>
          <w:sz w:val="24"/>
          <w:szCs w:val="21"/>
        </w:rPr>
        <w:t>本单位郑重声明，根据《财政部民政部中国残疾人联合会关于促进残疾人就业政府采购政策的通知》（财库〔</w:t>
      </w:r>
      <w:r>
        <w:rPr>
          <w:rFonts w:hint="eastAsia"/>
          <w:sz w:val="24"/>
          <w:szCs w:val="21"/>
        </w:rPr>
        <w:t>2017</w:t>
      </w:r>
      <w:r>
        <w:rPr>
          <w:rFonts w:hint="eastAsia" w:hAnsiTheme="minorEastAsia"/>
          <w:sz w:val="24"/>
          <w:szCs w:val="21"/>
        </w:rPr>
        <w:t>〕</w:t>
      </w:r>
      <w:r>
        <w:rPr>
          <w:rFonts w:hint="eastAsia"/>
          <w:sz w:val="24"/>
          <w:szCs w:val="21"/>
        </w:rPr>
        <w:t>141</w:t>
      </w:r>
      <w:r>
        <w:rPr>
          <w:rFonts w:hint="eastAsia" w:hAnsiTheme="minorEastAsia"/>
          <w:sz w:val="24"/>
          <w:szCs w:val="21"/>
        </w:rPr>
        <w:t>号）的规定，本单位为符合条件的残疾人福利性单位，且本单位参加</w:t>
      </w:r>
      <w:r>
        <w:rPr>
          <w:rFonts w:hint="eastAsia"/>
          <w:sz w:val="24"/>
          <w:szCs w:val="21"/>
        </w:rPr>
        <w:t>______</w:t>
      </w:r>
      <w:r>
        <w:rPr>
          <w:rFonts w:hint="eastAsia" w:hAnsiTheme="minorEastAsia"/>
          <w:sz w:val="24"/>
          <w:szCs w:val="21"/>
        </w:rPr>
        <w:t>单位的</w:t>
      </w:r>
      <w:r>
        <w:rPr>
          <w:rFonts w:hint="eastAsia"/>
          <w:sz w:val="24"/>
          <w:szCs w:val="21"/>
        </w:rPr>
        <w:t>______</w:t>
      </w:r>
      <w:r>
        <w:rPr>
          <w:rFonts w:hint="eastAsia" w:hAnsiTheme="minorEastAsia"/>
          <w:sz w:val="24"/>
          <w:szCs w:val="21"/>
        </w:rPr>
        <w:t>项目采购活动提供本单位制造的货物（由本单位承担工程</w:t>
      </w:r>
      <w:r>
        <w:rPr>
          <w:rFonts w:hint="eastAsia"/>
          <w:sz w:val="24"/>
          <w:szCs w:val="21"/>
        </w:rPr>
        <w:t>/</w:t>
      </w:r>
      <w:r>
        <w:rPr>
          <w:rFonts w:hint="eastAsia" w:hAnsiTheme="minorEastAsia"/>
          <w:sz w:val="24"/>
          <w:szCs w:val="21"/>
        </w:rPr>
        <w:t>提供服务），或者提供其他残疾人福利性单位制造的货物（不包括使用非残疾人福利性单位注册商标的货物）。</w:t>
      </w:r>
    </w:p>
    <w:p w14:paraId="157D0069">
      <w:pPr>
        <w:snapToGrid w:val="0"/>
        <w:spacing w:line="360" w:lineRule="auto"/>
        <w:ind w:firstLine="448" w:firstLineChars="200"/>
        <w:rPr>
          <w:sz w:val="24"/>
          <w:szCs w:val="21"/>
        </w:rPr>
      </w:pPr>
      <w:r>
        <w:rPr>
          <w:rFonts w:hint="eastAsia" w:hAnsiTheme="minorEastAsia"/>
          <w:sz w:val="24"/>
          <w:szCs w:val="21"/>
        </w:rPr>
        <w:t>本单位对上述声明的真实性负责。如有虚假，将依法承担相应责任。</w:t>
      </w:r>
    </w:p>
    <w:p w14:paraId="7312F071">
      <w:pPr>
        <w:snapToGrid w:val="0"/>
        <w:spacing w:line="360" w:lineRule="auto"/>
        <w:ind w:firstLine="448" w:firstLineChars="200"/>
        <w:rPr>
          <w:sz w:val="24"/>
          <w:szCs w:val="21"/>
        </w:rPr>
      </w:pPr>
    </w:p>
    <w:p w14:paraId="3C5CBA81">
      <w:pPr>
        <w:snapToGrid w:val="0"/>
        <w:spacing w:line="360" w:lineRule="auto"/>
        <w:ind w:firstLine="448" w:firstLineChars="200"/>
        <w:rPr>
          <w:sz w:val="24"/>
          <w:szCs w:val="21"/>
        </w:rPr>
      </w:pPr>
    </w:p>
    <w:p w14:paraId="0284AD9B">
      <w:pPr>
        <w:snapToGrid w:val="0"/>
        <w:spacing w:line="360" w:lineRule="auto"/>
        <w:ind w:firstLine="448" w:firstLineChars="200"/>
        <w:jc w:val="left"/>
        <w:rPr>
          <w:sz w:val="24"/>
          <w:szCs w:val="21"/>
        </w:rPr>
      </w:pPr>
      <w:r>
        <w:rPr>
          <w:rFonts w:hint="eastAsia" w:hAnsiTheme="minorEastAsia"/>
          <w:sz w:val="24"/>
          <w:szCs w:val="21"/>
        </w:rPr>
        <w:t>投标人名称：</w:t>
      </w:r>
    </w:p>
    <w:p w14:paraId="4D7CE123">
      <w:pPr>
        <w:snapToGrid w:val="0"/>
        <w:spacing w:line="360" w:lineRule="auto"/>
        <w:ind w:firstLine="448" w:firstLineChars="200"/>
        <w:jc w:val="left"/>
        <w:rPr>
          <w:sz w:val="24"/>
          <w:szCs w:val="21"/>
        </w:rPr>
      </w:pPr>
    </w:p>
    <w:p w14:paraId="7406D054">
      <w:pPr>
        <w:snapToGrid w:val="0"/>
        <w:spacing w:line="360" w:lineRule="auto"/>
        <w:ind w:firstLine="448" w:firstLineChars="200"/>
        <w:jc w:val="left"/>
        <w:rPr>
          <w:sz w:val="24"/>
          <w:szCs w:val="21"/>
        </w:rPr>
      </w:pPr>
      <w:r>
        <w:rPr>
          <w:rFonts w:hint="eastAsia" w:hAnsiTheme="minorEastAsia"/>
          <w:sz w:val="24"/>
          <w:szCs w:val="21"/>
        </w:rPr>
        <w:t>日期：年月日</w:t>
      </w:r>
    </w:p>
    <w:p w14:paraId="55762D1A">
      <w:pPr>
        <w:snapToGrid w:val="0"/>
        <w:spacing w:line="360" w:lineRule="auto"/>
        <w:ind w:firstLine="448" w:firstLineChars="200"/>
        <w:jc w:val="left"/>
        <w:rPr>
          <w:sz w:val="24"/>
          <w:szCs w:val="21"/>
        </w:rPr>
      </w:pPr>
    </w:p>
    <w:p w14:paraId="10645EB8">
      <w:pPr>
        <w:snapToGrid w:val="0"/>
        <w:spacing w:line="360" w:lineRule="auto"/>
        <w:ind w:firstLine="448" w:firstLineChars="200"/>
        <w:jc w:val="left"/>
        <w:rPr>
          <w:sz w:val="24"/>
          <w:szCs w:val="21"/>
        </w:rPr>
      </w:pPr>
    </w:p>
    <w:p w14:paraId="4EFD7319">
      <w:pPr>
        <w:snapToGrid w:val="0"/>
        <w:spacing w:line="360" w:lineRule="auto"/>
        <w:ind w:firstLine="448" w:firstLineChars="200"/>
        <w:rPr>
          <w:sz w:val="24"/>
          <w:szCs w:val="21"/>
        </w:rPr>
      </w:pPr>
      <w:r>
        <w:rPr>
          <w:rFonts w:hint="eastAsia" w:hAnsiTheme="minorEastAsia"/>
          <w:sz w:val="24"/>
          <w:szCs w:val="21"/>
        </w:rPr>
        <w:t>注：</w:t>
      </w:r>
    </w:p>
    <w:p w14:paraId="77790C33">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4A6C6AF0">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61164A91">
      <w:pPr>
        <w:widowControl/>
        <w:jc w:val="left"/>
        <w:rPr>
          <w:b/>
          <w:sz w:val="24"/>
        </w:rPr>
      </w:pPr>
      <w:r>
        <w:rPr>
          <w:b/>
          <w:sz w:val="24"/>
        </w:rPr>
        <w:br w:type="page"/>
      </w:r>
    </w:p>
    <w:p w14:paraId="33B861CB">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604D7004">
      <w:pPr>
        <w:spacing w:line="560" w:lineRule="exact"/>
        <w:jc w:val="left"/>
        <w:rPr>
          <w:sz w:val="28"/>
        </w:rPr>
      </w:pPr>
    </w:p>
    <w:p w14:paraId="2AFE341C">
      <w:pPr>
        <w:spacing w:line="560" w:lineRule="exact"/>
        <w:jc w:val="left"/>
        <w:rPr>
          <w:sz w:val="28"/>
        </w:rPr>
      </w:pPr>
    </w:p>
    <w:p w14:paraId="67C0FD16">
      <w:pPr>
        <w:spacing w:line="560" w:lineRule="exact"/>
        <w:jc w:val="left"/>
        <w:rPr>
          <w:sz w:val="28"/>
        </w:rPr>
      </w:pPr>
    </w:p>
    <w:p w14:paraId="6A144F94">
      <w:pPr>
        <w:spacing w:line="560" w:lineRule="exact"/>
        <w:jc w:val="left"/>
        <w:rPr>
          <w:sz w:val="28"/>
        </w:rPr>
      </w:pPr>
    </w:p>
    <w:p w14:paraId="4EBDE2CB">
      <w:pPr>
        <w:spacing w:line="560" w:lineRule="exact"/>
        <w:jc w:val="left"/>
        <w:rPr>
          <w:sz w:val="28"/>
        </w:rPr>
      </w:pPr>
    </w:p>
    <w:p w14:paraId="1D09EADA">
      <w:pPr>
        <w:spacing w:line="560" w:lineRule="exact"/>
        <w:jc w:val="left"/>
        <w:rPr>
          <w:sz w:val="28"/>
        </w:rPr>
      </w:pPr>
    </w:p>
    <w:p w14:paraId="12339172">
      <w:pPr>
        <w:spacing w:line="560" w:lineRule="exact"/>
        <w:jc w:val="left"/>
        <w:rPr>
          <w:sz w:val="28"/>
        </w:rPr>
      </w:pPr>
    </w:p>
    <w:p w14:paraId="4A0A9DBE">
      <w:pPr>
        <w:spacing w:line="560" w:lineRule="exact"/>
        <w:jc w:val="left"/>
        <w:rPr>
          <w:sz w:val="28"/>
        </w:rPr>
      </w:pPr>
    </w:p>
    <w:p w14:paraId="51701785">
      <w:pPr>
        <w:spacing w:line="560" w:lineRule="exact"/>
        <w:jc w:val="left"/>
        <w:rPr>
          <w:sz w:val="28"/>
        </w:rPr>
      </w:pPr>
    </w:p>
    <w:p w14:paraId="5838ABDE">
      <w:pPr>
        <w:spacing w:line="560" w:lineRule="exact"/>
        <w:jc w:val="left"/>
        <w:rPr>
          <w:sz w:val="28"/>
        </w:rPr>
      </w:pPr>
    </w:p>
    <w:p w14:paraId="2F65C00E">
      <w:pPr>
        <w:spacing w:line="560" w:lineRule="exact"/>
        <w:jc w:val="left"/>
        <w:rPr>
          <w:sz w:val="28"/>
        </w:rPr>
      </w:pPr>
    </w:p>
    <w:p w14:paraId="1FF086F7">
      <w:pPr>
        <w:spacing w:line="560" w:lineRule="exact"/>
        <w:jc w:val="left"/>
        <w:rPr>
          <w:sz w:val="28"/>
        </w:rPr>
      </w:pPr>
    </w:p>
    <w:p w14:paraId="5F25E1B7">
      <w:pPr>
        <w:spacing w:line="560" w:lineRule="exact"/>
        <w:jc w:val="left"/>
        <w:rPr>
          <w:sz w:val="28"/>
        </w:rPr>
      </w:pPr>
    </w:p>
    <w:p w14:paraId="00BAA237">
      <w:pPr>
        <w:spacing w:line="560" w:lineRule="exact"/>
        <w:jc w:val="left"/>
        <w:rPr>
          <w:sz w:val="28"/>
        </w:rPr>
      </w:pPr>
    </w:p>
    <w:p w14:paraId="2D073D41">
      <w:pPr>
        <w:spacing w:line="560" w:lineRule="exact"/>
        <w:jc w:val="left"/>
        <w:rPr>
          <w:sz w:val="28"/>
        </w:rPr>
      </w:pPr>
    </w:p>
    <w:p w14:paraId="2C1C3B5B">
      <w:pPr>
        <w:spacing w:line="560" w:lineRule="exact"/>
        <w:jc w:val="left"/>
        <w:rPr>
          <w:sz w:val="28"/>
        </w:rPr>
      </w:pPr>
    </w:p>
    <w:p w14:paraId="7CDAA306">
      <w:pPr>
        <w:spacing w:line="560" w:lineRule="exact"/>
        <w:jc w:val="left"/>
        <w:rPr>
          <w:sz w:val="28"/>
        </w:rPr>
      </w:pPr>
    </w:p>
    <w:p w14:paraId="27589687">
      <w:pPr>
        <w:spacing w:line="560" w:lineRule="exact"/>
        <w:jc w:val="left"/>
        <w:rPr>
          <w:sz w:val="28"/>
        </w:rPr>
      </w:pPr>
    </w:p>
    <w:p w14:paraId="0124200F">
      <w:pPr>
        <w:spacing w:line="560" w:lineRule="exact"/>
        <w:jc w:val="left"/>
        <w:rPr>
          <w:sz w:val="28"/>
        </w:rPr>
      </w:pPr>
    </w:p>
    <w:p w14:paraId="707C1AD2">
      <w:pPr>
        <w:spacing w:line="560" w:lineRule="exact"/>
        <w:jc w:val="left"/>
        <w:rPr>
          <w:sz w:val="28"/>
        </w:rPr>
      </w:pPr>
    </w:p>
    <w:p w14:paraId="4680E564">
      <w:pPr>
        <w:spacing w:line="560" w:lineRule="exact"/>
        <w:jc w:val="left"/>
        <w:rPr>
          <w:sz w:val="28"/>
        </w:rPr>
      </w:pPr>
    </w:p>
    <w:p w14:paraId="57982445">
      <w:pPr>
        <w:spacing w:line="560" w:lineRule="exact"/>
        <w:jc w:val="left"/>
        <w:rPr>
          <w:sz w:val="28"/>
        </w:rPr>
      </w:pPr>
    </w:p>
    <w:p w14:paraId="6DA09806">
      <w:pPr>
        <w:spacing w:line="560" w:lineRule="exact"/>
        <w:jc w:val="left"/>
        <w:rPr>
          <w:sz w:val="28"/>
        </w:rPr>
      </w:pPr>
    </w:p>
    <w:p w14:paraId="713FAF1A">
      <w:pPr>
        <w:spacing w:line="560" w:lineRule="exact"/>
        <w:jc w:val="left"/>
        <w:rPr>
          <w:b/>
          <w:sz w:val="24"/>
        </w:rPr>
      </w:pPr>
      <w:r>
        <w:rPr>
          <w:b/>
          <w:sz w:val="24"/>
        </w:rPr>
        <w:t>附件1</w:t>
      </w:r>
      <w:r>
        <w:rPr>
          <w:rFonts w:hint="eastAsia"/>
          <w:b/>
          <w:sz w:val="24"/>
        </w:rPr>
        <w:t>1</w:t>
      </w:r>
    </w:p>
    <w:p w14:paraId="5F6E4678">
      <w:pPr>
        <w:spacing w:line="560" w:lineRule="exact"/>
        <w:jc w:val="center"/>
        <w:rPr>
          <w:b/>
          <w:sz w:val="24"/>
        </w:rPr>
      </w:pPr>
      <w:r>
        <w:rPr>
          <w:b/>
          <w:sz w:val="24"/>
        </w:rPr>
        <w:t>管理大纲</w:t>
      </w:r>
    </w:p>
    <w:p w14:paraId="582A86EF">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52EFD7BF">
      <w:pPr>
        <w:spacing w:line="560" w:lineRule="exact"/>
        <w:ind w:firstLine="672" w:firstLineChars="300"/>
        <w:jc w:val="left"/>
        <w:rPr>
          <w:sz w:val="24"/>
        </w:rPr>
      </w:pPr>
      <w:r>
        <w:rPr>
          <w:sz w:val="24"/>
        </w:rPr>
        <w:t>投标人将专项服务委托专业公司承担的，应当进行说明。</w:t>
      </w:r>
    </w:p>
    <w:p w14:paraId="0614A91C">
      <w:pPr>
        <w:spacing w:line="560" w:lineRule="exact"/>
        <w:ind w:firstLine="672" w:firstLineChars="300"/>
        <w:jc w:val="left"/>
        <w:rPr>
          <w:sz w:val="24"/>
        </w:rPr>
      </w:pPr>
      <w:r>
        <w:rPr>
          <w:sz w:val="24"/>
        </w:rPr>
        <w:t>投标人认为必需的其他内容。</w:t>
      </w:r>
    </w:p>
    <w:p w14:paraId="30640CD5">
      <w:pPr>
        <w:spacing w:line="560" w:lineRule="exact"/>
        <w:jc w:val="left"/>
        <w:rPr>
          <w:sz w:val="28"/>
        </w:rPr>
      </w:pPr>
    </w:p>
    <w:p w14:paraId="2DA5C1F5">
      <w:pPr>
        <w:spacing w:line="560" w:lineRule="exact"/>
        <w:jc w:val="left"/>
        <w:rPr>
          <w:sz w:val="28"/>
        </w:rPr>
      </w:pPr>
    </w:p>
    <w:p w14:paraId="55543565">
      <w:pPr>
        <w:spacing w:line="560" w:lineRule="exact"/>
        <w:jc w:val="left"/>
        <w:rPr>
          <w:sz w:val="28"/>
        </w:rPr>
      </w:pPr>
    </w:p>
    <w:p w14:paraId="79A1B9B1">
      <w:pPr>
        <w:spacing w:line="560" w:lineRule="exact"/>
        <w:jc w:val="left"/>
        <w:rPr>
          <w:sz w:val="28"/>
        </w:rPr>
      </w:pPr>
    </w:p>
    <w:p w14:paraId="478E2AD8">
      <w:pPr>
        <w:spacing w:line="560" w:lineRule="exact"/>
        <w:jc w:val="left"/>
        <w:rPr>
          <w:sz w:val="28"/>
        </w:rPr>
      </w:pPr>
    </w:p>
    <w:p w14:paraId="7DB5C9FB">
      <w:pPr>
        <w:spacing w:line="560" w:lineRule="exact"/>
        <w:jc w:val="left"/>
        <w:rPr>
          <w:sz w:val="28"/>
        </w:rPr>
      </w:pPr>
    </w:p>
    <w:p w14:paraId="7E34DB1A">
      <w:pPr>
        <w:spacing w:line="560" w:lineRule="exact"/>
        <w:jc w:val="left"/>
        <w:rPr>
          <w:sz w:val="28"/>
        </w:rPr>
      </w:pPr>
    </w:p>
    <w:p w14:paraId="5E04C5F3">
      <w:pPr>
        <w:spacing w:line="560" w:lineRule="exact"/>
        <w:jc w:val="left"/>
        <w:rPr>
          <w:sz w:val="28"/>
        </w:rPr>
      </w:pPr>
    </w:p>
    <w:p w14:paraId="7BE34EBA">
      <w:pPr>
        <w:spacing w:line="560" w:lineRule="exact"/>
        <w:jc w:val="left"/>
        <w:rPr>
          <w:sz w:val="28"/>
        </w:rPr>
      </w:pPr>
    </w:p>
    <w:p w14:paraId="270F933C">
      <w:pPr>
        <w:spacing w:line="560" w:lineRule="exact"/>
        <w:jc w:val="left"/>
        <w:rPr>
          <w:sz w:val="28"/>
        </w:rPr>
      </w:pPr>
    </w:p>
    <w:p w14:paraId="6E75F8D8">
      <w:pPr>
        <w:spacing w:line="360" w:lineRule="auto"/>
        <w:ind w:right="84"/>
        <w:rPr>
          <w:sz w:val="24"/>
        </w:rPr>
      </w:pPr>
      <w:r>
        <w:rPr>
          <w:sz w:val="24"/>
        </w:rPr>
        <w:t>投标人名称：</w:t>
      </w:r>
    </w:p>
    <w:p w14:paraId="177407BC">
      <w:pPr>
        <w:spacing w:line="360" w:lineRule="auto"/>
        <w:ind w:right="84" w:firstLine="224" w:firstLineChars="100"/>
        <w:rPr>
          <w:sz w:val="24"/>
        </w:rPr>
      </w:pPr>
    </w:p>
    <w:p w14:paraId="65D357E2">
      <w:pPr>
        <w:spacing w:line="360" w:lineRule="auto"/>
        <w:ind w:right="84"/>
        <w:rPr>
          <w:position w:val="-40"/>
          <w:sz w:val="24"/>
        </w:rPr>
      </w:pPr>
      <w:r>
        <w:rPr>
          <w:sz w:val="24"/>
        </w:rPr>
        <w:t>日期：</w:t>
      </w:r>
    </w:p>
    <w:p w14:paraId="0DDCF83E">
      <w:pPr>
        <w:spacing w:line="560" w:lineRule="exact"/>
        <w:jc w:val="left"/>
        <w:rPr>
          <w:sz w:val="28"/>
        </w:rPr>
      </w:pPr>
    </w:p>
    <w:p w14:paraId="4FE8215F">
      <w:pPr>
        <w:spacing w:line="560" w:lineRule="exact"/>
        <w:jc w:val="left"/>
        <w:rPr>
          <w:sz w:val="28"/>
        </w:rPr>
      </w:pPr>
    </w:p>
    <w:p w14:paraId="65C067FE">
      <w:pPr>
        <w:spacing w:line="560" w:lineRule="exact"/>
        <w:jc w:val="left"/>
        <w:rPr>
          <w:sz w:val="28"/>
        </w:rPr>
      </w:pPr>
    </w:p>
    <w:p w14:paraId="34C752B3">
      <w:pPr>
        <w:spacing w:line="560" w:lineRule="exact"/>
        <w:jc w:val="left"/>
        <w:rPr>
          <w:sz w:val="28"/>
        </w:rPr>
      </w:pPr>
    </w:p>
    <w:p w14:paraId="5C582EEE">
      <w:pPr>
        <w:spacing w:line="560" w:lineRule="exact"/>
        <w:jc w:val="left"/>
        <w:rPr>
          <w:sz w:val="28"/>
        </w:rPr>
      </w:pPr>
    </w:p>
    <w:p w14:paraId="10EA6F1A">
      <w:pPr>
        <w:spacing w:line="560" w:lineRule="exact"/>
        <w:jc w:val="left"/>
        <w:rPr>
          <w:sz w:val="28"/>
        </w:rPr>
      </w:pPr>
    </w:p>
    <w:p w14:paraId="03D43889">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1EE9C77B">
      <w:pPr>
        <w:spacing w:line="480" w:lineRule="auto"/>
        <w:jc w:val="center"/>
        <w:rPr>
          <w:b/>
          <w:sz w:val="30"/>
        </w:rPr>
      </w:pPr>
      <w:r>
        <w:rPr>
          <w:b/>
          <w:color w:val="000000"/>
          <w:sz w:val="24"/>
        </w:rPr>
        <w:t>项目负责人资格审查表</w:t>
      </w:r>
    </w:p>
    <w:tbl>
      <w:tblPr>
        <w:tblStyle w:val="20"/>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411D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2562947">
            <w:pPr>
              <w:spacing w:line="360" w:lineRule="auto"/>
              <w:ind w:right="84"/>
              <w:jc w:val="center"/>
              <w:rPr>
                <w:position w:val="-36"/>
                <w:sz w:val="24"/>
              </w:rPr>
            </w:pPr>
            <w:r>
              <w:rPr>
                <w:position w:val="-36"/>
                <w:sz w:val="24"/>
              </w:rPr>
              <w:t>姓名</w:t>
            </w:r>
          </w:p>
        </w:tc>
        <w:tc>
          <w:tcPr>
            <w:tcW w:w="1396" w:type="dxa"/>
            <w:gridSpan w:val="2"/>
          </w:tcPr>
          <w:p w14:paraId="7DF6A0F8">
            <w:pPr>
              <w:spacing w:line="360" w:lineRule="auto"/>
              <w:ind w:right="84"/>
              <w:jc w:val="center"/>
              <w:rPr>
                <w:position w:val="-36"/>
                <w:sz w:val="24"/>
              </w:rPr>
            </w:pPr>
          </w:p>
        </w:tc>
        <w:tc>
          <w:tcPr>
            <w:tcW w:w="1449" w:type="dxa"/>
            <w:gridSpan w:val="2"/>
          </w:tcPr>
          <w:p w14:paraId="20D5FB75">
            <w:pPr>
              <w:spacing w:line="360" w:lineRule="auto"/>
              <w:ind w:right="84"/>
              <w:jc w:val="center"/>
              <w:rPr>
                <w:position w:val="-36"/>
                <w:sz w:val="24"/>
              </w:rPr>
            </w:pPr>
            <w:r>
              <w:rPr>
                <w:position w:val="-36"/>
                <w:sz w:val="24"/>
              </w:rPr>
              <w:t>性别</w:t>
            </w:r>
          </w:p>
        </w:tc>
        <w:tc>
          <w:tcPr>
            <w:tcW w:w="1894" w:type="dxa"/>
            <w:gridSpan w:val="3"/>
          </w:tcPr>
          <w:p w14:paraId="667F2CE0">
            <w:pPr>
              <w:spacing w:line="360" w:lineRule="auto"/>
              <w:ind w:right="84"/>
              <w:jc w:val="center"/>
              <w:rPr>
                <w:position w:val="-36"/>
                <w:sz w:val="24"/>
              </w:rPr>
            </w:pPr>
          </w:p>
        </w:tc>
        <w:tc>
          <w:tcPr>
            <w:tcW w:w="1426" w:type="dxa"/>
            <w:gridSpan w:val="2"/>
          </w:tcPr>
          <w:p w14:paraId="1DA56FAB">
            <w:pPr>
              <w:spacing w:line="360" w:lineRule="auto"/>
              <w:ind w:right="84"/>
              <w:jc w:val="center"/>
              <w:rPr>
                <w:position w:val="-36"/>
                <w:sz w:val="24"/>
              </w:rPr>
            </w:pPr>
            <w:r>
              <w:rPr>
                <w:position w:val="-36"/>
                <w:sz w:val="24"/>
              </w:rPr>
              <w:t>年龄</w:t>
            </w:r>
          </w:p>
        </w:tc>
        <w:tc>
          <w:tcPr>
            <w:tcW w:w="1290" w:type="dxa"/>
          </w:tcPr>
          <w:p w14:paraId="07EB752F">
            <w:pPr>
              <w:spacing w:line="360" w:lineRule="auto"/>
              <w:ind w:right="84"/>
              <w:jc w:val="center"/>
              <w:rPr>
                <w:position w:val="-36"/>
                <w:sz w:val="24"/>
              </w:rPr>
            </w:pPr>
          </w:p>
        </w:tc>
      </w:tr>
      <w:tr w14:paraId="244A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B8D711C">
            <w:pPr>
              <w:spacing w:line="360" w:lineRule="auto"/>
              <w:ind w:right="84"/>
              <w:jc w:val="center"/>
              <w:rPr>
                <w:position w:val="-36"/>
                <w:sz w:val="24"/>
              </w:rPr>
            </w:pPr>
            <w:r>
              <w:rPr>
                <w:position w:val="-36"/>
                <w:sz w:val="24"/>
              </w:rPr>
              <w:t>职称</w:t>
            </w:r>
          </w:p>
        </w:tc>
        <w:tc>
          <w:tcPr>
            <w:tcW w:w="1396" w:type="dxa"/>
            <w:gridSpan w:val="2"/>
          </w:tcPr>
          <w:p w14:paraId="1F49D0CA">
            <w:pPr>
              <w:spacing w:line="360" w:lineRule="auto"/>
              <w:ind w:right="84"/>
              <w:jc w:val="center"/>
              <w:rPr>
                <w:position w:val="-36"/>
                <w:sz w:val="24"/>
              </w:rPr>
            </w:pPr>
          </w:p>
        </w:tc>
        <w:tc>
          <w:tcPr>
            <w:tcW w:w="1449" w:type="dxa"/>
            <w:gridSpan w:val="2"/>
          </w:tcPr>
          <w:p w14:paraId="393018DE">
            <w:pPr>
              <w:spacing w:line="360" w:lineRule="auto"/>
              <w:ind w:right="84"/>
              <w:jc w:val="center"/>
              <w:rPr>
                <w:position w:val="-36"/>
                <w:sz w:val="24"/>
              </w:rPr>
            </w:pPr>
            <w:r>
              <w:rPr>
                <w:position w:val="-36"/>
                <w:sz w:val="24"/>
              </w:rPr>
              <w:t>毕业学校</w:t>
            </w:r>
          </w:p>
        </w:tc>
        <w:tc>
          <w:tcPr>
            <w:tcW w:w="1894" w:type="dxa"/>
            <w:gridSpan w:val="3"/>
          </w:tcPr>
          <w:p w14:paraId="63CBEFD5">
            <w:pPr>
              <w:spacing w:line="360" w:lineRule="auto"/>
              <w:ind w:right="84"/>
              <w:jc w:val="center"/>
              <w:rPr>
                <w:position w:val="-36"/>
                <w:sz w:val="24"/>
              </w:rPr>
            </w:pPr>
          </w:p>
        </w:tc>
        <w:tc>
          <w:tcPr>
            <w:tcW w:w="1426" w:type="dxa"/>
            <w:gridSpan w:val="2"/>
          </w:tcPr>
          <w:p w14:paraId="1BAEB9AB">
            <w:pPr>
              <w:spacing w:line="360" w:lineRule="auto"/>
              <w:ind w:right="84"/>
              <w:jc w:val="center"/>
              <w:rPr>
                <w:position w:val="-36"/>
                <w:sz w:val="24"/>
              </w:rPr>
            </w:pPr>
            <w:r>
              <w:rPr>
                <w:position w:val="-36"/>
                <w:sz w:val="24"/>
              </w:rPr>
              <w:t>毕业时间</w:t>
            </w:r>
          </w:p>
        </w:tc>
        <w:tc>
          <w:tcPr>
            <w:tcW w:w="1290" w:type="dxa"/>
          </w:tcPr>
          <w:p w14:paraId="549E430E">
            <w:pPr>
              <w:spacing w:line="360" w:lineRule="auto"/>
              <w:ind w:right="84"/>
              <w:jc w:val="center"/>
              <w:rPr>
                <w:position w:val="-36"/>
                <w:sz w:val="24"/>
              </w:rPr>
            </w:pPr>
          </w:p>
        </w:tc>
      </w:tr>
      <w:tr w14:paraId="144E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111C76FF">
            <w:pPr>
              <w:spacing w:line="360" w:lineRule="auto"/>
              <w:ind w:right="84"/>
              <w:jc w:val="center"/>
              <w:rPr>
                <w:position w:val="-36"/>
                <w:sz w:val="24"/>
              </w:rPr>
            </w:pPr>
            <w:r>
              <w:rPr>
                <w:position w:val="-36"/>
                <w:sz w:val="24"/>
              </w:rPr>
              <w:t>所学专业</w:t>
            </w:r>
          </w:p>
        </w:tc>
        <w:tc>
          <w:tcPr>
            <w:tcW w:w="1396" w:type="dxa"/>
            <w:gridSpan w:val="2"/>
          </w:tcPr>
          <w:p w14:paraId="11C72220">
            <w:pPr>
              <w:spacing w:line="360" w:lineRule="auto"/>
              <w:ind w:right="84"/>
              <w:jc w:val="center"/>
              <w:rPr>
                <w:position w:val="-36"/>
                <w:sz w:val="24"/>
              </w:rPr>
            </w:pPr>
          </w:p>
        </w:tc>
        <w:tc>
          <w:tcPr>
            <w:tcW w:w="1449" w:type="dxa"/>
            <w:gridSpan w:val="2"/>
          </w:tcPr>
          <w:p w14:paraId="127A506C">
            <w:pPr>
              <w:spacing w:line="360" w:lineRule="auto"/>
              <w:ind w:right="84"/>
              <w:jc w:val="center"/>
              <w:rPr>
                <w:position w:val="-36"/>
                <w:sz w:val="24"/>
              </w:rPr>
            </w:pPr>
            <w:r>
              <w:rPr>
                <w:position w:val="-36"/>
                <w:sz w:val="24"/>
              </w:rPr>
              <w:t>最高学历</w:t>
            </w:r>
          </w:p>
        </w:tc>
        <w:tc>
          <w:tcPr>
            <w:tcW w:w="1894" w:type="dxa"/>
            <w:gridSpan w:val="3"/>
          </w:tcPr>
          <w:p w14:paraId="39FFF99B">
            <w:pPr>
              <w:spacing w:line="360" w:lineRule="auto"/>
              <w:ind w:right="84"/>
              <w:jc w:val="center"/>
              <w:rPr>
                <w:position w:val="-36"/>
                <w:sz w:val="24"/>
              </w:rPr>
            </w:pPr>
          </w:p>
        </w:tc>
        <w:tc>
          <w:tcPr>
            <w:tcW w:w="1426" w:type="dxa"/>
            <w:gridSpan w:val="2"/>
          </w:tcPr>
          <w:p w14:paraId="33FA36DC">
            <w:pPr>
              <w:spacing w:line="360" w:lineRule="auto"/>
              <w:ind w:right="84"/>
              <w:jc w:val="center"/>
              <w:rPr>
                <w:position w:val="-36"/>
                <w:sz w:val="24"/>
              </w:rPr>
            </w:pPr>
            <w:r>
              <w:rPr>
                <w:spacing w:val="-12"/>
                <w:position w:val="-36"/>
                <w:sz w:val="24"/>
              </w:rPr>
              <w:t>联系电话</w:t>
            </w:r>
          </w:p>
        </w:tc>
        <w:tc>
          <w:tcPr>
            <w:tcW w:w="1290" w:type="dxa"/>
          </w:tcPr>
          <w:p w14:paraId="57F8DA3B">
            <w:pPr>
              <w:spacing w:line="360" w:lineRule="auto"/>
              <w:ind w:right="84"/>
              <w:jc w:val="center"/>
              <w:rPr>
                <w:position w:val="-36"/>
                <w:sz w:val="24"/>
              </w:rPr>
            </w:pPr>
          </w:p>
        </w:tc>
      </w:tr>
      <w:tr w14:paraId="3351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08022969">
            <w:pPr>
              <w:spacing w:line="360" w:lineRule="auto"/>
              <w:ind w:right="84"/>
              <w:jc w:val="center"/>
              <w:rPr>
                <w:spacing w:val="-28"/>
                <w:position w:val="-36"/>
                <w:sz w:val="24"/>
              </w:rPr>
            </w:pPr>
            <w:r>
              <w:rPr>
                <w:position w:val="-36"/>
                <w:sz w:val="24"/>
              </w:rPr>
              <w:t>所获证书及编号</w:t>
            </w:r>
          </w:p>
        </w:tc>
        <w:tc>
          <w:tcPr>
            <w:tcW w:w="1951" w:type="dxa"/>
            <w:gridSpan w:val="3"/>
          </w:tcPr>
          <w:p w14:paraId="0F27B767">
            <w:pPr>
              <w:spacing w:line="360" w:lineRule="auto"/>
              <w:ind w:right="84"/>
              <w:jc w:val="center"/>
              <w:rPr>
                <w:position w:val="-36"/>
                <w:sz w:val="24"/>
              </w:rPr>
            </w:pPr>
          </w:p>
        </w:tc>
        <w:tc>
          <w:tcPr>
            <w:tcW w:w="3138" w:type="dxa"/>
            <w:gridSpan w:val="4"/>
          </w:tcPr>
          <w:p w14:paraId="015CE1F6">
            <w:pPr>
              <w:spacing w:line="560" w:lineRule="exact"/>
              <w:jc w:val="center"/>
              <w:rPr>
                <w:sz w:val="24"/>
              </w:rPr>
            </w:pPr>
            <w:r>
              <w:rPr>
                <w:sz w:val="24"/>
              </w:rPr>
              <w:t>从事物业管理</w:t>
            </w:r>
          </w:p>
          <w:p w14:paraId="5F5019E2">
            <w:pPr>
              <w:spacing w:line="360" w:lineRule="auto"/>
              <w:ind w:right="84"/>
              <w:jc w:val="center"/>
              <w:rPr>
                <w:position w:val="-36"/>
                <w:sz w:val="24"/>
              </w:rPr>
            </w:pPr>
            <w:r>
              <w:rPr>
                <w:sz w:val="24"/>
              </w:rPr>
              <w:t>工作年限</w:t>
            </w:r>
          </w:p>
        </w:tc>
        <w:tc>
          <w:tcPr>
            <w:tcW w:w="1472" w:type="dxa"/>
            <w:gridSpan w:val="2"/>
          </w:tcPr>
          <w:p w14:paraId="5F72FF96">
            <w:pPr>
              <w:spacing w:line="360" w:lineRule="auto"/>
              <w:ind w:right="84"/>
              <w:jc w:val="center"/>
              <w:rPr>
                <w:position w:val="-36"/>
                <w:sz w:val="24"/>
              </w:rPr>
            </w:pPr>
          </w:p>
        </w:tc>
      </w:tr>
      <w:tr w14:paraId="1250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1061178B">
            <w:pPr>
              <w:spacing w:line="360" w:lineRule="auto"/>
              <w:ind w:right="84"/>
              <w:jc w:val="center"/>
              <w:rPr>
                <w:position w:val="-36"/>
                <w:sz w:val="24"/>
              </w:rPr>
            </w:pPr>
            <w:r>
              <w:rPr>
                <w:position w:val="-36"/>
                <w:sz w:val="24"/>
              </w:rPr>
              <w:t>近三年来的主要工作业绩及担任的主要工作经历</w:t>
            </w:r>
          </w:p>
        </w:tc>
      </w:tr>
      <w:tr w14:paraId="60F2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13CB306">
            <w:pPr>
              <w:spacing w:line="360" w:lineRule="auto"/>
              <w:ind w:right="84"/>
              <w:rPr>
                <w:position w:val="-36"/>
                <w:sz w:val="24"/>
              </w:rPr>
            </w:pPr>
            <w:r>
              <w:rPr>
                <w:position w:val="-36"/>
                <w:sz w:val="24"/>
              </w:rPr>
              <w:t>时间</w:t>
            </w:r>
          </w:p>
        </w:tc>
        <w:tc>
          <w:tcPr>
            <w:tcW w:w="1394" w:type="dxa"/>
            <w:gridSpan w:val="2"/>
          </w:tcPr>
          <w:p w14:paraId="7B66B985">
            <w:pPr>
              <w:spacing w:line="360" w:lineRule="auto"/>
              <w:ind w:right="84"/>
              <w:jc w:val="center"/>
              <w:rPr>
                <w:position w:val="-36"/>
                <w:sz w:val="24"/>
              </w:rPr>
            </w:pPr>
            <w:r>
              <w:rPr>
                <w:position w:val="-36"/>
                <w:sz w:val="24"/>
              </w:rPr>
              <w:t>地点</w:t>
            </w:r>
          </w:p>
        </w:tc>
        <w:tc>
          <w:tcPr>
            <w:tcW w:w="1445" w:type="dxa"/>
            <w:gridSpan w:val="2"/>
          </w:tcPr>
          <w:p w14:paraId="48103194">
            <w:pPr>
              <w:spacing w:line="360" w:lineRule="auto"/>
              <w:ind w:right="84"/>
              <w:jc w:val="center"/>
              <w:rPr>
                <w:position w:val="-36"/>
                <w:sz w:val="24"/>
              </w:rPr>
            </w:pPr>
            <w:r>
              <w:rPr>
                <w:position w:val="-36"/>
                <w:sz w:val="24"/>
              </w:rPr>
              <w:t>单位</w:t>
            </w:r>
          </w:p>
        </w:tc>
        <w:tc>
          <w:tcPr>
            <w:tcW w:w="944" w:type="dxa"/>
            <w:gridSpan w:val="2"/>
          </w:tcPr>
          <w:p w14:paraId="53A58D74">
            <w:pPr>
              <w:spacing w:line="360" w:lineRule="auto"/>
              <w:ind w:right="84"/>
              <w:jc w:val="center"/>
              <w:rPr>
                <w:position w:val="-36"/>
                <w:sz w:val="24"/>
              </w:rPr>
            </w:pPr>
            <w:r>
              <w:rPr>
                <w:position w:val="-36"/>
                <w:sz w:val="24"/>
              </w:rPr>
              <w:t>职务</w:t>
            </w:r>
          </w:p>
        </w:tc>
        <w:tc>
          <w:tcPr>
            <w:tcW w:w="4172" w:type="dxa"/>
            <w:gridSpan w:val="5"/>
          </w:tcPr>
          <w:p w14:paraId="45E517B9">
            <w:pPr>
              <w:spacing w:line="360" w:lineRule="auto"/>
              <w:ind w:right="84"/>
              <w:jc w:val="center"/>
              <w:rPr>
                <w:position w:val="-36"/>
                <w:sz w:val="24"/>
              </w:rPr>
            </w:pPr>
            <w:r>
              <w:rPr>
                <w:position w:val="-36"/>
                <w:sz w:val="24"/>
              </w:rPr>
              <w:t>主要工作</w:t>
            </w:r>
          </w:p>
        </w:tc>
      </w:tr>
      <w:tr w14:paraId="5AEA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50C2FBC1">
            <w:pPr>
              <w:spacing w:line="360" w:lineRule="auto"/>
              <w:ind w:right="84"/>
              <w:rPr>
                <w:position w:val="-36"/>
                <w:sz w:val="24"/>
              </w:rPr>
            </w:pPr>
          </w:p>
          <w:p w14:paraId="5FE21FE6">
            <w:pPr>
              <w:spacing w:line="360" w:lineRule="auto"/>
              <w:ind w:right="84"/>
              <w:rPr>
                <w:position w:val="-36"/>
                <w:sz w:val="24"/>
              </w:rPr>
            </w:pPr>
          </w:p>
          <w:p w14:paraId="40607FC5">
            <w:pPr>
              <w:spacing w:line="360" w:lineRule="auto"/>
              <w:ind w:right="84"/>
              <w:rPr>
                <w:position w:val="-36"/>
                <w:sz w:val="24"/>
              </w:rPr>
            </w:pPr>
          </w:p>
          <w:p w14:paraId="5CF289DA">
            <w:pPr>
              <w:spacing w:line="360" w:lineRule="auto"/>
              <w:ind w:right="84"/>
              <w:rPr>
                <w:position w:val="-36"/>
                <w:sz w:val="24"/>
              </w:rPr>
            </w:pPr>
          </w:p>
          <w:p w14:paraId="7CFDEF04">
            <w:pPr>
              <w:spacing w:line="360" w:lineRule="auto"/>
              <w:ind w:right="84"/>
              <w:rPr>
                <w:position w:val="-36"/>
                <w:sz w:val="24"/>
              </w:rPr>
            </w:pPr>
          </w:p>
        </w:tc>
        <w:tc>
          <w:tcPr>
            <w:tcW w:w="1394" w:type="dxa"/>
            <w:gridSpan w:val="2"/>
          </w:tcPr>
          <w:p w14:paraId="0502C724">
            <w:pPr>
              <w:spacing w:line="360" w:lineRule="auto"/>
              <w:ind w:right="84"/>
              <w:rPr>
                <w:position w:val="-36"/>
                <w:sz w:val="24"/>
              </w:rPr>
            </w:pPr>
          </w:p>
        </w:tc>
        <w:tc>
          <w:tcPr>
            <w:tcW w:w="1445" w:type="dxa"/>
            <w:gridSpan w:val="2"/>
          </w:tcPr>
          <w:p w14:paraId="56700B44">
            <w:pPr>
              <w:spacing w:line="360" w:lineRule="auto"/>
              <w:ind w:right="84"/>
              <w:rPr>
                <w:position w:val="-36"/>
                <w:sz w:val="24"/>
              </w:rPr>
            </w:pPr>
          </w:p>
        </w:tc>
        <w:tc>
          <w:tcPr>
            <w:tcW w:w="944" w:type="dxa"/>
            <w:gridSpan w:val="2"/>
          </w:tcPr>
          <w:p w14:paraId="1083E7C8">
            <w:pPr>
              <w:spacing w:line="360" w:lineRule="auto"/>
              <w:ind w:right="84"/>
              <w:rPr>
                <w:position w:val="-36"/>
                <w:sz w:val="24"/>
              </w:rPr>
            </w:pPr>
          </w:p>
        </w:tc>
        <w:tc>
          <w:tcPr>
            <w:tcW w:w="4172" w:type="dxa"/>
            <w:gridSpan w:val="5"/>
          </w:tcPr>
          <w:p w14:paraId="3101D26F">
            <w:pPr>
              <w:spacing w:line="360" w:lineRule="auto"/>
              <w:ind w:right="84"/>
              <w:rPr>
                <w:position w:val="-36"/>
                <w:sz w:val="24"/>
              </w:rPr>
            </w:pPr>
          </w:p>
        </w:tc>
      </w:tr>
      <w:tr w14:paraId="191F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558D28DC">
            <w:pPr>
              <w:spacing w:line="360" w:lineRule="auto"/>
              <w:ind w:right="84"/>
              <w:jc w:val="center"/>
              <w:rPr>
                <w:position w:val="-36"/>
                <w:sz w:val="24"/>
              </w:rPr>
            </w:pPr>
            <w:r>
              <w:rPr>
                <w:position w:val="-36"/>
                <w:sz w:val="24"/>
              </w:rPr>
              <w:t>曾担任负责人的项目</w:t>
            </w:r>
          </w:p>
        </w:tc>
      </w:tr>
      <w:tr w14:paraId="0036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76E60B59">
            <w:pPr>
              <w:spacing w:line="360" w:lineRule="auto"/>
              <w:ind w:right="84"/>
              <w:rPr>
                <w:position w:val="-36"/>
                <w:sz w:val="24"/>
              </w:rPr>
            </w:pPr>
            <w:r>
              <w:rPr>
                <w:position w:val="-36"/>
                <w:sz w:val="24"/>
              </w:rPr>
              <w:t>时间</w:t>
            </w:r>
          </w:p>
        </w:tc>
        <w:tc>
          <w:tcPr>
            <w:tcW w:w="1394" w:type="dxa"/>
            <w:gridSpan w:val="2"/>
          </w:tcPr>
          <w:p w14:paraId="6C699F15">
            <w:pPr>
              <w:spacing w:line="360" w:lineRule="auto"/>
              <w:ind w:right="84"/>
              <w:jc w:val="center"/>
              <w:rPr>
                <w:position w:val="-36"/>
                <w:sz w:val="24"/>
              </w:rPr>
            </w:pPr>
            <w:r>
              <w:rPr>
                <w:position w:val="-36"/>
                <w:sz w:val="24"/>
              </w:rPr>
              <w:t>委托单位</w:t>
            </w:r>
          </w:p>
        </w:tc>
        <w:tc>
          <w:tcPr>
            <w:tcW w:w="2389" w:type="dxa"/>
            <w:gridSpan w:val="4"/>
          </w:tcPr>
          <w:p w14:paraId="7A57872A">
            <w:pPr>
              <w:spacing w:line="360" w:lineRule="auto"/>
              <w:ind w:right="84"/>
              <w:jc w:val="center"/>
              <w:rPr>
                <w:position w:val="-36"/>
                <w:sz w:val="24"/>
              </w:rPr>
            </w:pPr>
            <w:r>
              <w:rPr>
                <w:position w:val="-36"/>
                <w:sz w:val="24"/>
              </w:rPr>
              <w:t>项目名称</w:t>
            </w:r>
          </w:p>
        </w:tc>
        <w:tc>
          <w:tcPr>
            <w:tcW w:w="1351" w:type="dxa"/>
          </w:tcPr>
          <w:p w14:paraId="606AFD8B">
            <w:pPr>
              <w:spacing w:line="360" w:lineRule="auto"/>
              <w:ind w:right="84"/>
              <w:jc w:val="center"/>
              <w:rPr>
                <w:position w:val="-36"/>
                <w:sz w:val="24"/>
              </w:rPr>
            </w:pPr>
            <w:r>
              <w:rPr>
                <w:position w:val="-36"/>
                <w:sz w:val="24"/>
              </w:rPr>
              <w:t>项目规模</w:t>
            </w:r>
          </w:p>
        </w:tc>
        <w:tc>
          <w:tcPr>
            <w:tcW w:w="1349" w:type="dxa"/>
            <w:gridSpan w:val="2"/>
          </w:tcPr>
          <w:p w14:paraId="2582BD0D">
            <w:pPr>
              <w:spacing w:line="360" w:lineRule="auto"/>
              <w:ind w:right="84"/>
              <w:jc w:val="center"/>
              <w:rPr>
                <w:position w:val="-36"/>
                <w:sz w:val="24"/>
              </w:rPr>
            </w:pPr>
            <w:r>
              <w:rPr>
                <w:position w:val="-36"/>
                <w:sz w:val="24"/>
              </w:rPr>
              <w:t>项目类型</w:t>
            </w:r>
          </w:p>
        </w:tc>
        <w:tc>
          <w:tcPr>
            <w:tcW w:w="1472" w:type="dxa"/>
            <w:gridSpan w:val="2"/>
          </w:tcPr>
          <w:p w14:paraId="5EA05C05">
            <w:pPr>
              <w:spacing w:line="360" w:lineRule="auto"/>
              <w:ind w:right="84"/>
              <w:jc w:val="center"/>
              <w:rPr>
                <w:position w:val="-36"/>
                <w:sz w:val="24"/>
              </w:rPr>
            </w:pPr>
            <w:r>
              <w:rPr>
                <w:position w:val="-36"/>
                <w:sz w:val="24"/>
              </w:rPr>
              <w:t>备注</w:t>
            </w:r>
          </w:p>
        </w:tc>
      </w:tr>
      <w:tr w14:paraId="1F06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42627C5B">
            <w:pPr>
              <w:spacing w:line="360" w:lineRule="auto"/>
              <w:ind w:right="84"/>
              <w:rPr>
                <w:position w:val="-36"/>
                <w:sz w:val="24"/>
              </w:rPr>
            </w:pPr>
          </w:p>
          <w:p w14:paraId="2290BD38">
            <w:pPr>
              <w:spacing w:line="360" w:lineRule="auto"/>
              <w:ind w:right="84"/>
              <w:rPr>
                <w:position w:val="-36"/>
                <w:sz w:val="24"/>
              </w:rPr>
            </w:pPr>
          </w:p>
          <w:p w14:paraId="59879A94">
            <w:pPr>
              <w:spacing w:line="360" w:lineRule="auto"/>
              <w:ind w:right="84"/>
              <w:rPr>
                <w:position w:val="-36"/>
                <w:sz w:val="24"/>
              </w:rPr>
            </w:pPr>
          </w:p>
        </w:tc>
        <w:tc>
          <w:tcPr>
            <w:tcW w:w="1394" w:type="dxa"/>
            <w:gridSpan w:val="2"/>
            <w:tcBorders>
              <w:bottom w:val="single" w:color="auto" w:sz="4" w:space="0"/>
            </w:tcBorders>
          </w:tcPr>
          <w:p w14:paraId="179CB2FC">
            <w:pPr>
              <w:spacing w:line="360" w:lineRule="auto"/>
              <w:ind w:right="84"/>
              <w:rPr>
                <w:position w:val="-36"/>
                <w:sz w:val="24"/>
              </w:rPr>
            </w:pPr>
          </w:p>
        </w:tc>
        <w:tc>
          <w:tcPr>
            <w:tcW w:w="2389" w:type="dxa"/>
            <w:gridSpan w:val="4"/>
            <w:tcBorders>
              <w:bottom w:val="single" w:color="auto" w:sz="4" w:space="0"/>
            </w:tcBorders>
          </w:tcPr>
          <w:p w14:paraId="6AF6608D">
            <w:pPr>
              <w:spacing w:line="360" w:lineRule="auto"/>
              <w:ind w:right="84"/>
              <w:rPr>
                <w:position w:val="-36"/>
                <w:sz w:val="24"/>
              </w:rPr>
            </w:pPr>
          </w:p>
        </w:tc>
        <w:tc>
          <w:tcPr>
            <w:tcW w:w="1351" w:type="dxa"/>
            <w:tcBorders>
              <w:bottom w:val="single" w:color="auto" w:sz="4" w:space="0"/>
            </w:tcBorders>
          </w:tcPr>
          <w:p w14:paraId="733DF52E">
            <w:pPr>
              <w:spacing w:line="360" w:lineRule="auto"/>
              <w:ind w:right="84"/>
              <w:rPr>
                <w:position w:val="-36"/>
                <w:sz w:val="24"/>
              </w:rPr>
            </w:pPr>
          </w:p>
        </w:tc>
        <w:tc>
          <w:tcPr>
            <w:tcW w:w="1349" w:type="dxa"/>
            <w:gridSpan w:val="2"/>
            <w:tcBorders>
              <w:bottom w:val="single" w:color="auto" w:sz="4" w:space="0"/>
            </w:tcBorders>
          </w:tcPr>
          <w:p w14:paraId="44095405">
            <w:pPr>
              <w:spacing w:line="360" w:lineRule="auto"/>
              <w:ind w:right="84"/>
              <w:rPr>
                <w:position w:val="-36"/>
                <w:sz w:val="24"/>
              </w:rPr>
            </w:pPr>
          </w:p>
        </w:tc>
        <w:tc>
          <w:tcPr>
            <w:tcW w:w="1472" w:type="dxa"/>
            <w:gridSpan w:val="2"/>
            <w:tcBorders>
              <w:bottom w:val="single" w:color="auto" w:sz="4" w:space="0"/>
            </w:tcBorders>
          </w:tcPr>
          <w:p w14:paraId="61A55B2E">
            <w:pPr>
              <w:spacing w:line="360" w:lineRule="auto"/>
              <w:ind w:right="84"/>
              <w:rPr>
                <w:position w:val="-36"/>
                <w:sz w:val="24"/>
              </w:rPr>
            </w:pPr>
          </w:p>
        </w:tc>
      </w:tr>
    </w:tbl>
    <w:p w14:paraId="42CA31ED">
      <w:pPr>
        <w:spacing w:line="360" w:lineRule="auto"/>
        <w:ind w:right="84" w:firstLine="224" w:firstLineChars="100"/>
        <w:rPr>
          <w:sz w:val="24"/>
        </w:rPr>
      </w:pPr>
      <w:r>
        <w:rPr>
          <w:sz w:val="24"/>
        </w:rPr>
        <w:t>投标人名称：</w:t>
      </w:r>
    </w:p>
    <w:p w14:paraId="60A32683">
      <w:pPr>
        <w:spacing w:line="360" w:lineRule="auto"/>
        <w:ind w:right="84" w:firstLine="224" w:firstLineChars="100"/>
        <w:rPr>
          <w:sz w:val="24"/>
        </w:rPr>
      </w:pPr>
    </w:p>
    <w:p w14:paraId="1BB3ACA6">
      <w:pPr>
        <w:spacing w:line="360" w:lineRule="auto"/>
        <w:ind w:right="84" w:firstLine="224" w:firstLineChars="100"/>
        <w:rPr>
          <w:position w:val="-40"/>
          <w:sz w:val="24"/>
        </w:rPr>
      </w:pPr>
      <w:r>
        <w:rPr>
          <w:sz w:val="24"/>
        </w:rPr>
        <w:t>日期：</w:t>
      </w:r>
    </w:p>
    <w:p w14:paraId="4D7D93DD">
      <w:pPr>
        <w:widowControl/>
        <w:jc w:val="left"/>
        <w:rPr>
          <w:b/>
          <w:sz w:val="24"/>
          <w:szCs w:val="24"/>
        </w:rPr>
      </w:pPr>
      <w:r>
        <w:rPr>
          <w:b/>
          <w:sz w:val="24"/>
          <w:szCs w:val="24"/>
        </w:rPr>
        <w:br w:type="page"/>
      </w:r>
    </w:p>
    <w:p w14:paraId="39E99D31">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2166E322">
      <w:pPr>
        <w:spacing w:line="360" w:lineRule="auto"/>
        <w:ind w:right="84"/>
        <w:jc w:val="center"/>
        <w:rPr>
          <w:b/>
          <w:sz w:val="24"/>
          <w:szCs w:val="24"/>
        </w:rPr>
      </w:pPr>
      <w:r>
        <w:rPr>
          <w:b/>
          <w:position w:val="-40"/>
          <w:sz w:val="24"/>
          <w:szCs w:val="24"/>
        </w:rPr>
        <w:t>拟在本项目使用的主要设备一览表</w:t>
      </w:r>
    </w:p>
    <w:tbl>
      <w:tblPr>
        <w:tblStyle w:val="20"/>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2F96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2A77084C">
            <w:pPr>
              <w:spacing w:line="360" w:lineRule="auto"/>
              <w:ind w:right="84"/>
              <w:jc w:val="center"/>
              <w:rPr>
                <w:position w:val="-32"/>
                <w:sz w:val="24"/>
              </w:rPr>
            </w:pPr>
            <w:r>
              <w:rPr>
                <w:position w:val="-32"/>
                <w:sz w:val="24"/>
              </w:rPr>
              <w:t>序号</w:t>
            </w:r>
          </w:p>
        </w:tc>
        <w:tc>
          <w:tcPr>
            <w:tcW w:w="2520" w:type="dxa"/>
            <w:vAlign w:val="center"/>
          </w:tcPr>
          <w:p w14:paraId="539BE585">
            <w:pPr>
              <w:spacing w:line="360" w:lineRule="auto"/>
              <w:ind w:right="84"/>
              <w:jc w:val="center"/>
              <w:rPr>
                <w:position w:val="-32"/>
                <w:sz w:val="24"/>
              </w:rPr>
            </w:pPr>
            <w:r>
              <w:rPr>
                <w:position w:val="-32"/>
                <w:sz w:val="24"/>
              </w:rPr>
              <w:t>主要设备名称</w:t>
            </w:r>
          </w:p>
        </w:tc>
        <w:tc>
          <w:tcPr>
            <w:tcW w:w="1441" w:type="dxa"/>
            <w:vAlign w:val="center"/>
          </w:tcPr>
          <w:p w14:paraId="4AF29A4E">
            <w:pPr>
              <w:spacing w:line="360" w:lineRule="auto"/>
              <w:ind w:right="84"/>
              <w:jc w:val="center"/>
              <w:rPr>
                <w:position w:val="-32"/>
                <w:sz w:val="24"/>
              </w:rPr>
            </w:pPr>
            <w:r>
              <w:rPr>
                <w:position w:val="-32"/>
                <w:sz w:val="24"/>
              </w:rPr>
              <w:t>规格型号</w:t>
            </w:r>
          </w:p>
        </w:tc>
        <w:tc>
          <w:tcPr>
            <w:tcW w:w="1439" w:type="dxa"/>
            <w:vAlign w:val="center"/>
          </w:tcPr>
          <w:p w14:paraId="19CEC47C">
            <w:pPr>
              <w:spacing w:line="360" w:lineRule="auto"/>
              <w:ind w:right="84"/>
              <w:jc w:val="center"/>
              <w:rPr>
                <w:position w:val="-32"/>
                <w:sz w:val="24"/>
              </w:rPr>
            </w:pPr>
            <w:r>
              <w:rPr>
                <w:position w:val="-32"/>
                <w:sz w:val="24"/>
              </w:rPr>
              <w:t>购入时间</w:t>
            </w:r>
          </w:p>
        </w:tc>
        <w:tc>
          <w:tcPr>
            <w:tcW w:w="900" w:type="dxa"/>
            <w:vAlign w:val="center"/>
          </w:tcPr>
          <w:p w14:paraId="54C36627">
            <w:pPr>
              <w:spacing w:line="360" w:lineRule="auto"/>
              <w:ind w:right="84"/>
              <w:jc w:val="center"/>
              <w:rPr>
                <w:position w:val="-32"/>
                <w:sz w:val="24"/>
              </w:rPr>
            </w:pPr>
            <w:r>
              <w:rPr>
                <w:position w:val="-32"/>
                <w:sz w:val="24"/>
              </w:rPr>
              <w:t>数量</w:t>
            </w:r>
          </w:p>
        </w:tc>
        <w:tc>
          <w:tcPr>
            <w:tcW w:w="1404" w:type="dxa"/>
            <w:vAlign w:val="center"/>
          </w:tcPr>
          <w:p w14:paraId="277BA534">
            <w:pPr>
              <w:spacing w:line="360" w:lineRule="auto"/>
              <w:ind w:right="84"/>
              <w:jc w:val="center"/>
              <w:rPr>
                <w:position w:val="-32"/>
                <w:sz w:val="24"/>
              </w:rPr>
            </w:pPr>
            <w:r>
              <w:rPr>
                <w:position w:val="-32"/>
                <w:sz w:val="24"/>
              </w:rPr>
              <w:t>备注</w:t>
            </w:r>
          </w:p>
        </w:tc>
      </w:tr>
      <w:tr w14:paraId="3A9E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006A788">
            <w:pPr>
              <w:spacing w:line="360" w:lineRule="auto"/>
              <w:ind w:right="84"/>
              <w:rPr>
                <w:position w:val="-40"/>
                <w:u w:val="single"/>
              </w:rPr>
            </w:pPr>
          </w:p>
        </w:tc>
        <w:tc>
          <w:tcPr>
            <w:tcW w:w="2520" w:type="dxa"/>
          </w:tcPr>
          <w:p w14:paraId="1F8056A8">
            <w:pPr>
              <w:spacing w:line="360" w:lineRule="auto"/>
              <w:ind w:right="84"/>
              <w:rPr>
                <w:position w:val="-40"/>
                <w:u w:val="single"/>
              </w:rPr>
            </w:pPr>
          </w:p>
        </w:tc>
        <w:tc>
          <w:tcPr>
            <w:tcW w:w="1441" w:type="dxa"/>
          </w:tcPr>
          <w:p w14:paraId="09683893">
            <w:pPr>
              <w:spacing w:line="360" w:lineRule="auto"/>
              <w:ind w:right="84"/>
              <w:rPr>
                <w:position w:val="-40"/>
                <w:u w:val="single"/>
              </w:rPr>
            </w:pPr>
          </w:p>
        </w:tc>
        <w:tc>
          <w:tcPr>
            <w:tcW w:w="1439" w:type="dxa"/>
          </w:tcPr>
          <w:p w14:paraId="21A9D3B1">
            <w:pPr>
              <w:spacing w:line="360" w:lineRule="auto"/>
              <w:ind w:right="84"/>
              <w:rPr>
                <w:position w:val="-40"/>
                <w:u w:val="single"/>
              </w:rPr>
            </w:pPr>
          </w:p>
        </w:tc>
        <w:tc>
          <w:tcPr>
            <w:tcW w:w="900" w:type="dxa"/>
          </w:tcPr>
          <w:p w14:paraId="7EDE6E5A">
            <w:pPr>
              <w:spacing w:line="360" w:lineRule="auto"/>
              <w:ind w:right="84"/>
              <w:rPr>
                <w:position w:val="-40"/>
                <w:u w:val="single"/>
              </w:rPr>
            </w:pPr>
          </w:p>
        </w:tc>
        <w:tc>
          <w:tcPr>
            <w:tcW w:w="1404" w:type="dxa"/>
          </w:tcPr>
          <w:p w14:paraId="21775DF9">
            <w:pPr>
              <w:spacing w:line="360" w:lineRule="auto"/>
              <w:ind w:right="84"/>
              <w:rPr>
                <w:position w:val="-40"/>
                <w:u w:val="single"/>
              </w:rPr>
            </w:pPr>
          </w:p>
        </w:tc>
      </w:tr>
      <w:tr w14:paraId="2D9B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413BA1B">
            <w:pPr>
              <w:spacing w:line="360" w:lineRule="auto"/>
              <w:ind w:right="84"/>
              <w:rPr>
                <w:position w:val="-40"/>
                <w:u w:val="single"/>
              </w:rPr>
            </w:pPr>
          </w:p>
        </w:tc>
        <w:tc>
          <w:tcPr>
            <w:tcW w:w="2520" w:type="dxa"/>
          </w:tcPr>
          <w:p w14:paraId="60EAD0F8">
            <w:pPr>
              <w:spacing w:line="360" w:lineRule="auto"/>
              <w:ind w:right="84"/>
              <w:rPr>
                <w:position w:val="-40"/>
                <w:u w:val="single"/>
              </w:rPr>
            </w:pPr>
          </w:p>
        </w:tc>
        <w:tc>
          <w:tcPr>
            <w:tcW w:w="1441" w:type="dxa"/>
          </w:tcPr>
          <w:p w14:paraId="11C3E9C6">
            <w:pPr>
              <w:spacing w:line="360" w:lineRule="auto"/>
              <w:ind w:right="84"/>
              <w:rPr>
                <w:position w:val="-40"/>
                <w:u w:val="single"/>
              </w:rPr>
            </w:pPr>
          </w:p>
        </w:tc>
        <w:tc>
          <w:tcPr>
            <w:tcW w:w="1439" w:type="dxa"/>
          </w:tcPr>
          <w:p w14:paraId="35262E78">
            <w:pPr>
              <w:spacing w:line="360" w:lineRule="auto"/>
              <w:ind w:right="84"/>
              <w:rPr>
                <w:position w:val="-40"/>
                <w:u w:val="single"/>
              </w:rPr>
            </w:pPr>
          </w:p>
        </w:tc>
        <w:tc>
          <w:tcPr>
            <w:tcW w:w="900" w:type="dxa"/>
          </w:tcPr>
          <w:p w14:paraId="7A9DC67E">
            <w:pPr>
              <w:spacing w:line="360" w:lineRule="auto"/>
              <w:ind w:right="84"/>
              <w:rPr>
                <w:position w:val="-40"/>
                <w:u w:val="single"/>
              </w:rPr>
            </w:pPr>
          </w:p>
        </w:tc>
        <w:tc>
          <w:tcPr>
            <w:tcW w:w="1404" w:type="dxa"/>
          </w:tcPr>
          <w:p w14:paraId="2ADB1B11">
            <w:pPr>
              <w:spacing w:line="360" w:lineRule="auto"/>
              <w:ind w:right="84"/>
              <w:rPr>
                <w:position w:val="-40"/>
                <w:u w:val="single"/>
              </w:rPr>
            </w:pPr>
          </w:p>
        </w:tc>
      </w:tr>
      <w:tr w14:paraId="7259B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CB94962">
            <w:pPr>
              <w:spacing w:line="360" w:lineRule="auto"/>
              <w:ind w:right="84"/>
              <w:rPr>
                <w:position w:val="-40"/>
                <w:u w:val="single"/>
              </w:rPr>
            </w:pPr>
          </w:p>
        </w:tc>
        <w:tc>
          <w:tcPr>
            <w:tcW w:w="2520" w:type="dxa"/>
          </w:tcPr>
          <w:p w14:paraId="4C454C94">
            <w:pPr>
              <w:spacing w:line="360" w:lineRule="auto"/>
              <w:ind w:right="84"/>
              <w:rPr>
                <w:position w:val="-40"/>
                <w:u w:val="single"/>
              </w:rPr>
            </w:pPr>
          </w:p>
        </w:tc>
        <w:tc>
          <w:tcPr>
            <w:tcW w:w="1441" w:type="dxa"/>
          </w:tcPr>
          <w:p w14:paraId="4D26B289">
            <w:pPr>
              <w:spacing w:line="360" w:lineRule="auto"/>
              <w:ind w:right="84"/>
              <w:rPr>
                <w:position w:val="-40"/>
                <w:u w:val="single"/>
              </w:rPr>
            </w:pPr>
          </w:p>
        </w:tc>
        <w:tc>
          <w:tcPr>
            <w:tcW w:w="1439" w:type="dxa"/>
          </w:tcPr>
          <w:p w14:paraId="34097AED">
            <w:pPr>
              <w:spacing w:line="360" w:lineRule="auto"/>
              <w:ind w:right="84"/>
              <w:rPr>
                <w:position w:val="-40"/>
                <w:u w:val="single"/>
              </w:rPr>
            </w:pPr>
          </w:p>
        </w:tc>
        <w:tc>
          <w:tcPr>
            <w:tcW w:w="900" w:type="dxa"/>
          </w:tcPr>
          <w:p w14:paraId="777BF275">
            <w:pPr>
              <w:spacing w:line="360" w:lineRule="auto"/>
              <w:ind w:right="84"/>
              <w:rPr>
                <w:position w:val="-40"/>
                <w:u w:val="single"/>
              </w:rPr>
            </w:pPr>
          </w:p>
        </w:tc>
        <w:tc>
          <w:tcPr>
            <w:tcW w:w="1404" w:type="dxa"/>
          </w:tcPr>
          <w:p w14:paraId="4CE5697F">
            <w:pPr>
              <w:spacing w:line="360" w:lineRule="auto"/>
              <w:ind w:right="84"/>
              <w:rPr>
                <w:position w:val="-40"/>
                <w:u w:val="single"/>
              </w:rPr>
            </w:pPr>
          </w:p>
        </w:tc>
      </w:tr>
      <w:tr w14:paraId="17C8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A7DD1CF">
            <w:pPr>
              <w:spacing w:line="360" w:lineRule="auto"/>
              <w:ind w:right="84"/>
              <w:rPr>
                <w:position w:val="-40"/>
                <w:u w:val="single"/>
              </w:rPr>
            </w:pPr>
          </w:p>
        </w:tc>
        <w:tc>
          <w:tcPr>
            <w:tcW w:w="2520" w:type="dxa"/>
          </w:tcPr>
          <w:p w14:paraId="08B87324">
            <w:pPr>
              <w:spacing w:line="360" w:lineRule="auto"/>
              <w:ind w:right="84"/>
              <w:rPr>
                <w:position w:val="-40"/>
                <w:u w:val="single"/>
              </w:rPr>
            </w:pPr>
          </w:p>
        </w:tc>
        <w:tc>
          <w:tcPr>
            <w:tcW w:w="1441" w:type="dxa"/>
          </w:tcPr>
          <w:p w14:paraId="717C5FCD">
            <w:pPr>
              <w:spacing w:line="360" w:lineRule="auto"/>
              <w:ind w:right="84"/>
              <w:rPr>
                <w:position w:val="-40"/>
                <w:u w:val="single"/>
              </w:rPr>
            </w:pPr>
          </w:p>
        </w:tc>
        <w:tc>
          <w:tcPr>
            <w:tcW w:w="1439" w:type="dxa"/>
          </w:tcPr>
          <w:p w14:paraId="5BBC9CC9">
            <w:pPr>
              <w:spacing w:line="360" w:lineRule="auto"/>
              <w:ind w:right="84"/>
              <w:rPr>
                <w:position w:val="-40"/>
                <w:u w:val="single"/>
              </w:rPr>
            </w:pPr>
          </w:p>
        </w:tc>
        <w:tc>
          <w:tcPr>
            <w:tcW w:w="900" w:type="dxa"/>
          </w:tcPr>
          <w:p w14:paraId="29626092">
            <w:pPr>
              <w:spacing w:line="360" w:lineRule="auto"/>
              <w:ind w:right="84"/>
              <w:rPr>
                <w:position w:val="-40"/>
                <w:u w:val="single"/>
              </w:rPr>
            </w:pPr>
          </w:p>
        </w:tc>
        <w:tc>
          <w:tcPr>
            <w:tcW w:w="1404" w:type="dxa"/>
          </w:tcPr>
          <w:p w14:paraId="690132F2">
            <w:pPr>
              <w:spacing w:line="360" w:lineRule="auto"/>
              <w:ind w:right="84"/>
              <w:rPr>
                <w:position w:val="-40"/>
                <w:u w:val="single"/>
              </w:rPr>
            </w:pPr>
          </w:p>
        </w:tc>
      </w:tr>
      <w:tr w14:paraId="3066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EF23B05">
            <w:pPr>
              <w:spacing w:line="360" w:lineRule="auto"/>
              <w:ind w:right="84"/>
              <w:rPr>
                <w:position w:val="-40"/>
                <w:u w:val="single"/>
              </w:rPr>
            </w:pPr>
          </w:p>
        </w:tc>
        <w:tc>
          <w:tcPr>
            <w:tcW w:w="2520" w:type="dxa"/>
          </w:tcPr>
          <w:p w14:paraId="40410DE9">
            <w:pPr>
              <w:spacing w:line="360" w:lineRule="auto"/>
              <w:ind w:right="84"/>
              <w:rPr>
                <w:position w:val="-40"/>
                <w:u w:val="single"/>
              </w:rPr>
            </w:pPr>
          </w:p>
        </w:tc>
        <w:tc>
          <w:tcPr>
            <w:tcW w:w="1441" w:type="dxa"/>
          </w:tcPr>
          <w:p w14:paraId="2763C898">
            <w:pPr>
              <w:spacing w:line="360" w:lineRule="auto"/>
              <w:ind w:right="84"/>
              <w:rPr>
                <w:position w:val="-40"/>
                <w:u w:val="single"/>
              </w:rPr>
            </w:pPr>
          </w:p>
        </w:tc>
        <w:tc>
          <w:tcPr>
            <w:tcW w:w="1439" w:type="dxa"/>
          </w:tcPr>
          <w:p w14:paraId="067FCF2D">
            <w:pPr>
              <w:spacing w:line="360" w:lineRule="auto"/>
              <w:ind w:right="84"/>
              <w:rPr>
                <w:position w:val="-40"/>
                <w:u w:val="single"/>
              </w:rPr>
            </w:pPr>
          </w:p>
        </w:tc>
        <w:tc>
          <w:tcPr>
            <w:tcW w:w="900" w:type="dxa"/>
          </w:tcPr>
          <w:p w14:paraId="6994796E">
            <w:pPr>
              <w:spacing w:line="360" w:lineRule="auto"/>
              <w:ind w:right="84"/>
              <w:rPr>
                <w:position w:val="-40"/>
                <w:u w:val="single"/>
              </w:rPr>
            </w:pPr>
          </w:p>
        </w:tc>
        <w:tc>
          <w:tcPr>
            <w:tcW w:w="1404" w:type="dxa"/>
          </w:tcPr>
          <w:p w14:paraId="1C0E41BE">
            <w:pPr>
              <w:spacing w:line="360" w:lineRule="auto"/>
              <w:ind w:right="84"/>
              <w:rPr>
                <w:position w:val="-40"/>
                <w:u w:val="single"/>
              </w:rPr>
            </w:pPr>
          </w:p>
        </w:tc>
      </w:tr>
      <w:tr w14:paraId="06C7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A760D3A">
            <w:pPr>
              <w:spacing w:line="360" w:lineRule="auto"/>
              <w:ind w:right="84"/>
              <w:rPr>
                <w:position w:val="-40"/>
                <w:u w:val="single"/>
              </w:rPr>
            </w:pPr>
          </w:p>
        </w:tc>
        <w:tc>
          <w:tcPr>
            <w:tcW w:w="2520" w:type="dxa"/>
          </w:tcPr>
          <w:p w14:paraId="039ACC66">
            <w:pPr>
              <w:spacing w:line="360" w:lineRule="auto"/>
              <w:ind w:right="84"/>
              <w:rPr>
                <w:position w:val="-40"/>
                <w:u w:val="single"/>
              </w:rPr>
            </w:pPr>
          </w:p>
        </w:tc>
        <w:tc>
          <w:tcPr>
            <w:tcW w:w="1441" w:type="dxa"/>
          </w:tcPr>
          <w:p w14:paraId="37787665">
            <w:pPr>
              <w:spacing w:line="360" w:lineRule="auto"/>
              <w:ind w:right="84"/>
              <w:rPr>
                <w:position w:val="-40"/>
                <w:u w:val="single"/>
              </w:rPr>
            </w:pPr>
          </w:p>
        </w:tc>
        <w:tc>
          <w:tcPr>
            <w:tcW w:w="1439" w:type="dxa"/>
          </w:tcPr>
          <w:p w14:paraId="66FB4263">
            <w:pPr>
              <w:spacing w:line="360" w:lineRule="auto"/>
              <w:ind w:right="84"/>
              <w:rPr>
                <w:position w:val="-40"/>
                <w:u w:val="single"/>
              </w:rPr>
            </w:pPr>
          </w:p>
        </w:tc>
        <w:tc>
          <w:tcPr>
            <w:tcW w:w="900" w:type="dxa"/>
          </w:tcPr>
          <w:p w14:paraId="004DB8A0">
            <w:pPr>
              <w:spacing w:line="360" w:lineRule="auto"/>
              <w:ind w:right="84"/>
              <w:rPr>
                <w:position w:val="-40"/>
                <w:u w:val="single"/>
              </w:rPr>
            </w:pPr>
          </w:p>
        </w:tc>
        <w:tc>
          <w:tcPr>
            <w:tcW w:w="1404" w:type="dxa"/>
          </w:tcPr>
          <w:p w14:paraId="3EF7DAED">
            <w:pPr>
              <w:spacing w:line="360" w:lineRule="auto"/>
              <w:ind w:right="84"/>
              <w:rPr>
                <w:position w:val="-40"/>
                <w:u w:val="single"/>
              </w:rPr>
            </w:pPr>
          </w:p>
        </w:tc>
      </w:tr>
      <w:tr w14:paraId="49C1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B655142">
            <w:pPr>
              <w:spacing w:line="360" w:lineRule="auto"/>
              <w:ind w:right="84"/>
              <w:rPr>
                <w:position w:val="-40"/>
                <w:u w:val="single"/>
              </w:rPr>
            </w:pPr>
          </w:p>
        </w:tc>
        <w:tc>
          <w:tcPr>
            <w:tcW w:w="2520" w:type="dxa"/>
          </w:tcPr>
          <w:p w14:paraId="27204D80">
            <w:pPr>
              <w:spacing w:line="360" w:lineRule="auto"/>
              <w:ind w:right="84"/>
              <w:rPr>
                <w:position w:val="-40"/>
                <w:u w:val="single"/>
              </w:rPr>
            </w:pPr>
          </w:p>
        </w:tc>
        <w:tc>
          <w:tcPr>
            <w:tcW w:w="1441" w:type="dxa"/>
          </w:tcPr>
          <w:p w14:paraId="617C54D9">
            <w:pPr>
              <w:spacing w:line="360" w:lineRule="auto"/>
              <w:ind w:right="84"/>
              <w:rPr>
                <w:position w:val="-40"/>
                <w:u w:val="single"/>
              </w:rPr>
            </w:pPr>
          </w:p>
        </w:tc>
        <w:tc>
          <w:tcPr>
            <w:tcW w:w="1439" w:type="dxa"/>
          </w:tcPr>
          <w:p w14:paraId="4B8946ED">
            <w:pPr>
              <w:spacing w:line="360" w:lineRule="auto"/>
              <w:ind w:right="84"/>
              <w:rPr>
                <w:position w:val="-40"/>
                <w:u w:val="single"/>
              </w:rPr>
            </w:pPr>
          </w:p>
        </w:tc>
        <w:tc>
          <w:tcPr>
            <w:tcW w:w="900" w:type="dxa"/>
          </w:tcPr>
          <w:p w14:paraId="751D014D">
            <w:pPr>
              <w:spacing w:line="360" w:lineRule="auto"/>
              <w:ind w:right="84"/>
              <w:rPr>
                <w:position w:val="-40"/>
                <w:u w:val="single"/>
              </w:rPr>
            </w:pPr>
          </w:p>
        </w:tc>
        <w:tc>
          <w:tcPr>
            <w:tcW w:w="1404" w:type="dxa"/>
          </w:tcPr>
          <w:p w14:paraId="40EE5CA0">
            <w:pPr>
              <w:spacing w:line="360" w:lineRule="auto"/>
              <w:ind w:right="84"/>
              <w:rPr>
                <w:position w:val="-40"/>
                <w:u w:val="single"/>
              </w:rPr>
            </w:pPr>
          </w:p>
        </w:tc>
      </w:tr>
      <w:tr w14:paraId="0A63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FEAFE37">
            <w:pPr>
              <w:spacing w:line="360" w:lineRule="auto"/>
              <w:ind w:right="84"/>
              <w:rPr>
                <w:position w:val="-40"/>
                <w:u w:val="single"/>
              </w:rPr>
            </w:pPr>
          </w:p>
        </w:tc>
        <w:tc>
          <w:tcPr>
            <w:tcW w:w="2520" w:type="dxa"/>
          </w:tcPr>
          <w:p w14:paraId="703D8CE4">
            <w:pPr>
              <w:spacing w:line="360" w:lineRule="auto"/>
              <w:ind w:right="84"/>
              <w:rPr>
                <w:position w:val="-40"/>
                <w:u w:val="single"/>
              </w:rPr>
            </w:pPr>
          </w:p>
        </w:tc>
        <w:tc>
          <w:tcPr>
            <w:tcW w:w="1441" w:type="dxa"/>
          </w:tcPr>
          <w:p w14:paraId="64A628D0">
            <w:pPr>
              <w:spacing w:line="360" w:lineRule="auto"/>
              <w:ind w:right="84"/>
              <w:rPr>
                <w:position w:val="-40"/>
                <w:u w:val="single"/>
              </w:rPr>
            </w:pPr>
          </w:p>
        </w:tc>
        <w:tc>
          <w:tcPr>
            <w:tcW w:w="1439" w:type="dxa"/>
          </w:tcPr>
          <w:p w14:paraId="43399FA5">
            <w:pPr>
              <w:spacing w:line="360" w:lineRule="auto"/>
              <w:ind w:right="84"/>
              <w:rPr>
                <w:position w:val="-40"/>
                <w:u w:val="single"/>
              </w:rPr>
            </w:pPr>
          </w:p>
        </w:tc>
        <w:tc>
          <w:tcPr>
            <w:tcW w:w="900" w:type="dxa"/>
          </w:tcPr>
          <w:p w14:paraId="76B49250">
            <w:pPr>
              <w:spacing w:line="360" w:lineRule="auto"/>
              <w:ind w:right="84"/>
              <w:rPr>
                <w:position w:val="-40"/>
                <w:u w:val="single"/>
              </w:rPr>
            </w:pPr>
          </w:p>
        </w:tc>
        <w:tc>
          <w:tcPr>
            <w:tcW w:w="1404" w:type="dxa"/>
          </w:tcPr>
          <w:p w14:paraId="2ABC6F5A">
            <w:pPr>
              <w:spacing w:line="360" w:lineRule="auto"/>
              <w:ind w:right="84"/>
              <w:rPr>
                <w:position w:val="-40"/>
                <w:u w:val="single"/>
              </w:rPr>
            </w:pPr>
          </w:p>
        </w:tc>
      </w:tr>
      <w:tr w14:paraId="0C61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9F6A917">
            <w:pPr>
              <w:spacing w:line="360" w:lineRule="auto"/>
              <w:ind w:right="84"/>
              <w:rPr>
                <w:position w:val="-40"/>
                <w:u w:val="single"/>
              </w:rPr>
            </w:pPr>
          </w:p>
        </w:tc>
        <w:tc>
          <w:tcPr>
            <w:tcW w:w="2520" w:type="dxa"/>
          </w:tcPr>
          <w:p w14:paraId="0F3B1E35">
            <w:pPr>
              <w:spacing w:line="360" w:lineRule="auto"/>
              <w:ind w:right="84"/>
              <w:rPr>
                <w:position w:val="-40"/>
                <w:u w:val="single"/>
              </w:rPr>
            </w:pPr>
          </w:p>
        </w:tc>
        <w:tc>
          <w:tcPr>
            <w:tcW w:w="1441" w:type="dxa"/>
          </w:tcPr>
          <w:p w14:paraId="07D41223">
            <w:pPr>
              <w:spacing w:line="360" w:lineRule="auto"/>
              <w:ind w:right="84"/>
              <w:rPr>
                <w:position w:val="-40"/>
                <w:u w:val="single"/>
              </w:rPr>
            </w:pPr>
          </w:p>
        </w:tc>
        <w:tc>
          <w:tcPr>
            <w:tcW w:w="1439" w:type="dxa"/>
          </w:tcPr>
          <w:p w14:paraId="6DD22A6D">
            <w:pPr>
              <w:spacing w:line="360" w:lineRule="auto"/>
              <w:ind w:right="84"/>
              <w:rPr>
                <w:position w:val="-40"/>
                <w:u w:val="single"/>
              </w:rPr>
            </w:pPr>
          </w:p>
        </w:tc>
        <w:tc>
          <w:tcPr>
            <w:tcW w:w="900" w:type="dxa"/>
          </w:tcPr>
          <w:p w14:paraId="3AA41193">
            <w:pPr>
              <w:spacing w:line="360" w:lineRule="auto"/>
              <w:ind w:right="84"/>
              <w:rPr>
                <w:position w:val="-40"/>
                <w:u w:val="single"/>
              </w:rPr>
            </w:pPr>
          </w:p>
        </w:tc>
        <w:tc>
          <w:tcPr>
            <w:tcW w:w="1404" w:type="dxa"/>
          </w:tcPr>
          <w:p w14:paraId="60FC7627">
            <w:pPr>
              <w:spacing w:line="360" w:lineRule="auto"/>
              <w:ind w:right="84"/>
              <w:rPr>
                <w:position w:val="-40"/>
                <w:u w:val="single"/>
              </w:rPr>
            </w:pPr>
          </w:p>
        </w:tc>
      </w:tr>
      <w:tr w14:paraId="7399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6569986">
            <w:pPr>
              <w:spacing w:line="360" w:lineRule="auto"/>
              <w:ind w:right="84"/>
              <w:rPr>
                <w:position w:val="-40"/>
                <w:u w:val="single"/>
              </w:rPr>
            </w:pPr>
          </w:p>
        </w:tc>
        <w:tc>
          <w:tcPr>
            <w:tcW w:w="2520" w:type="dxa"/>
          </w:tcPr>
          <w:p w14:paraId="5ABCFCDA">
            <w:pPr>
              <w:spacing w:line="360" w:lineRule="auto"/>
              <w:ind w:right="84"/>
              <w:rPr>
                <w:position w:val="-40"/>
                <w:u w:val="single"/>
              </w:rPr>
            </w:pPr>
          </w:p>
        </w:tc>
        <w:tc>
          <w:tcPr>
            <w:tcW w:w="1441" w:type="dxa"/>
          </w:tcPr>
          <w:p w14:paraId="37FF5863">
            <w:pPr>
              <w:spacing w:line="360" w:lineRule="auto"/>
              <w:ind w:right="84"/>
              <w:rPr>
                <w:position w:val="-40"/>
                <w:u w:val="single"/>
              </w:rPr>
            </w:pPr>
          </w:p>
        </w:tc>
        <w:tc>
          <w:tcPr>
            <w:tcW w:w="1439" w:type="dxa"/>
          </w:tcPr>
          <w:p w14:paraId="04A36600">
            <w:pPr>
              <w:spacing w:line="360" w:lineRule="auto"/>
              <w:ind w:right="84"/>
              <w:rPr>
                <w:position w:val="-40"/>
                <w:u w:val="single"/>
              </w:rPr>
            </w:pPr>
          </w:p>
        </w:tc>
        <w:tc>
          <w:tcPr>
            <w:tcW w:w="900" w:type="dxa"/>
          </w:tcPr>
          <w:p w14:paraId="1D1E2EC2">
            <w:pPr>
              <w:spacing w:line="360" w:lineRule="auto"/>
              <w:ind w:right="84"/>
              <w:rPr>
                <w:position w:val="-40"/>
                <w:u w:val="single"/>
              </w:rPr>
            </w:pPr>
          </w:p>
        </w:tc>
        <w:tc>
          <w:tcPr>
            <w:tcW w:w="1404" w:type="dxa"/>
          </w:tcPr>
          <w:p w14:paraId="70539F62">
            <w:pPr>
              <w:spacing w:line="360" w:lineRule="auto"/>
              <w:ind w:right="84"/>
              <w:rPr>
                <w:position w:val="-40"/>
                <w:u w:val="single"/>
              </w:rPr>
            </w:pPr>
          </w:p>
        </w:tc>
      </w:tr>
      <w:tr w14:paraId="2E69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96A0968">
            <w:pPr>
              <w:spacing w:line="360" w:lineRule="auto"/>
              <w:ind w:right="84"/>
              <w:rPr>
                <w:position w:val="-40"/>
                <w:u w:val="single"/>
              </w:rPr>
            </w:pPr>
          </w:p>
        </w:tc>
        <w:tc>
          <w:tcPr>
            <w:tcW w:w="2520" w:type="dxa"/>
          </w:tcPr>
          <w:p w14:paraId="24AB3023">
            <w:pPr>
              <w:spacing w:line="360" w:lineRule="auto"/>
              <w:ind w:right="84"/>
              <w:rPr>
                <w:position w:val="-40"/>
                <w:u w:val="single"/>
              </w:rPr>
            </w:pPr>
          </w:p>
        </w:tc>
        <w:tc>
          <w:tcPr>
            <w:tcW w:w="1441" w:type="dxa"/>
          </w:tcPr>
          <w:p w14:paraId="3F3DC9CB">
            <w:pPr>
              <w:spacing w:line="360" w:lineRule="auto"/>
              <w:ind w:right="84"/>
              <w:rPr>
                <w:position w:val="-40"/>
                <w:u w:val="single"/>
              </w:rPr>
            </w:pPr>
          </w:p>
        </w:tc>
        <w:tc>
          <w:tcPr>
            <w:tcW w:w="1439" w:type="dxa"/>
          </w:tcPr>
          <w:p w14:paraId="6D98EA27">
            <w:pPr>
              <w:spacing w:line="360" w:lineRule="auto"/>
              <w:ind w:right="84"/>
              <w:rPr>
                <w:position w:val="-40"/>
                <w:u w:val="single"/>
              </w:rPr>
            </w:pPr>
          </w:p>
        </w:tc>
        <w:tc>
          <w:tcPr>
            <w:tcW w:w="900" w:type="dxa"/>
          </w:tcPr>
          <w:p w14:paraId="564DAC8B">
            <w:pPr>
              <w:spacing w:line="360" w:lineRule="auto"/>
              <w:ind w:right="84"/>
              <w:rPr>
                <w:position w:val="-40"/>
                <w:u w:val="single"/>
              </w:rPr>
            </w:pPr>
          </w:p>
        </w:tc>
        <w:tc>
          <w:tcPr>
            <w:tcW w:w="1404" w:type="dxa"/>
          </w:tcPr>
          <w:p w14:paraId="7BC68C18">
            <w:pPr>
              <w:spacing w:line="360" w:lineRule="auto"/>
              <w:ind w:right="84"/>
              <w:rPr>
                <w:position w:val="-40"/>
                <w:u w:val="single"/>
              </w:rPr>
            </w:pPr>
          </w:p>
        </w:tc>
      </w:tr>
      <w:tr w14:paraId="5C44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B8B014E">
            <w:pPr>
              <w:spacing w:line="360" w:lineRule="auto"/>
              <w:ind w:right="84"/>
              <w:rPr>
                <w:position w:val="-40"/>
                <w:u w:val="single"/>
              </w:rPr>
            </w:pPr>
          </w:p>
        </w:tc>
        <w:tc>
          <w:tcPr>
            <w:tcW w:w="2520" w:type="dxa"/>
          </w:tcPr>
          <w:p w14:paraId="017E743D">
            <w:pPr>
              <w:spacing w:line="360" w:lineRule="auto"/>
              <w:ind w:right="84"/>
              <w:rPr>
                <w:position w:val="-40"/>
                <w:u w:val="single"/>
              </w:rPr>
            </w:pPr>
          </w:p>
        </w:tc>
        <w:tc>
          <w:tcPr>
            <w:tcW w:w="1441" w:type="dxa"/>
          </w:tcPr>
          <w:p w14:paraId="3702E128">
            <w:pPr>
              <w:spacing w:line="360" w:lineRule="auto"/>
              <w:ind w:right="84"/>
              <w:rPr>
                <w:position w:val="-40"/>
                <w:u w:val="single"/>
              </w:rPr>
            </w:pPr>
          </w:p>
        </w:tc>
        <w:tc>
          <w:tcPr>
            <w:tcW w:w="1439" w:type="dxa"/>
          </w:tcPr>
          <w:p w14:paraId="1EC0BFBA">
            <w:pPr>
              <w:spacing w:line="360" w:lineRule="auto"/>
              <w:ind w:right="84"/>
              <w:rPr>
                <w:position w:val="-40"/>
                <w:u w:val="single"/>
              </w:rPr>
            </w:pPr>
          </w:p>
        </w:tc>
        <w:tc>
          <w:tcPr>
            <w:tcW w:w="900" w:type="dxa"/>
          </w:tcPr>
          <w:p w14:paraId="2A5726FE">
            <w:pPr>
              <w:spacing w:line="360" w:lineRule="auto"/>
              <w:ind w:right="84"/>
              <w:rPr>
                <w:position w:val="-40"/>
                <w:u w:val="single"/>
              </w:rPr>
            </w:pPr>
          </w:p>
        </w:tc>
        <w:tc>
          <w:tcPr>
            <w:tcW w:w="1404" w:type="dxa"/>
          </w:tcPr>
          <w:p w14:paraId="5BE0D0C8">
            <w:pPr>
              <w:spacing w:line="360" w:lineRule="auto"/>
              <w:ind w:right="84"/>
              <w:rPr>
                <w:position w:val="-40"/>
                <w:u w:val="single"/>
              </w:rPr>
            </w:pPr>
          </w:p>
        </w:tc>
      </w:tr>
      <w:tr w14:paraId="33FB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4E84E7F">
            <w:pPr>
              <w:spacing w:line="360" w:lineRule="auto"/>
              <w:ind w:right="84"/>
              <w:rPr>
                <w:position w:val="-40"/>
                <w:u w:val="single"/>
              </w:rPr>
            </w:pPr>
          </w:p>
        </w:tc>
        <w:tc>
          <w:tcPr>
            <w:tcW w:w="2520" w:type="dxa"/>
          </w:tcPr>
          <w:p w14:paraId="382F7E04">
            <w:pPr>
              <w:spacing w:line="360" w:lineRule="auto"/>
              <w:ind w:right="84"/>
              <w:rPr>
                <w:position w:val="-40"/>
                <w:u w:val="single"/>
              </w:rPr>
            </w:pPr>
          </w:p>
        </w:tc>
        <w:tc>
          <w:tcPr>
            <w:tcW w:w="1441" w:type="dxa"/>
          </w:tcPr>
          <w:p w14:paraId="72CF23E1">
            <w:pPr>
              <w:spacing w:line="360" w:lineRule="auto"/>
              <w:ind w:right="84"/>
              <w:rPr>
                <w:position w:val="-40"/>
                <w:u w:val="single"/>
              </w:rPr>
            </w:pPr>
          </w:p>
        </w:tc>
        <w:tc>
          <w:tcPr>
            <w:tcW w:w="1439" w:type="dxa"/>
          </w:tcPr>
          <w:p w14:paraId="3168DB0E">
            <w:pPr>
              <w:spacing w:line="360" w:lineRule="auto"/>
              <w:ind w:right="84"/>
              <w:rPr>
                <w:position w:val="-40"/>
                <w:u w:val="single"/>
              </w:rPr>
            </w:pPr>
          </w:p>
        </w:tc>
        <w:tc>
          <w:tcPr>
            <w:tcW w:w="900" w:type="dxa"/>
          </w:tcPr>
          <w:p w14:paraId="652FEF1C">
            <w:pPr>
              <w:spacing w:line="360" w:lineRule="auto"/>
              <w:ind w:right="84"/>
              <w:rPr>
                <w:position w:val="-40"/>
                <w:u w:val="single"/>
              </w:rPr>
            </w:pPr>
          </w:p>
        </w:tc>
        <w:tc>
          <w:tcPr>
            <w:tcW w:w="1404" w:type="dxa"/>
          </w:tcPr>
          <w:p w14:paraId="75118CD5">
            <w:pPr>
              <w:spacing w:line="360" w:lineRule="auto"/>
              <w:ind w:right="84"/>
              <w:rPr>
                <w:position w:val="-40"/>
                <w:u w:val="single"/>
              </w:rPr>
            </w:pPr>
          </w:p>
        </w:tc>
      </w:tr>
      <w:tr w14:paraId="55AA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C2363BB">
            <w:pPr>
              <w:spacing w:line="360" w:lineRule="auto"/>
              <w:ind w:right="84"/>
              <w:rPr>
                <w:position w:val="-40"/>
                <w:u w:val="single"/>
              </w:rPr>
            </w:pPr>
          </w:p>
        </w:tc>
        <w:tc>
          <w:tcPr>
            <w:tcW w:w="2520" w:type="dxa"/>
          </w:tcPr>
          <w:p w14:paraId="11A51C86">
            <w:pPr>
              <w:spacing w:line="360" w:lineRule="auto"/>
              <w:ind w:right="84"/>
              <w:rPr>
                <w:position w:val="-40"/>
                <w:u w:val="single"/>
              </w:rPr>
            </w:pPr>
          </w:p>
        </w:tc>
        <w:tc>
          <w:tcPr>
            <w:tcW w:w="1441" w:type="dxa"/>
          </w:tcPr>
          <w:p w14:paraId="760083DA">
            <w:pPr>
              <w:spacing w:line="360" w:lineRule="auto"/>
              <w:ind w:right="84"/>
              <w:rPr>
                <w:position w:val="-40"/>
                <w:u w:val="single"/>
              </w:rPr>
            </w:pPr>
          </w:p>
        </w:tc>
        <w:tc>
          <w:tcPr>
            <w:tcW w:w="1439" w:type="dxa"/>
          </w:tcPr>
          <w:p w14:paraId="749E601C">
            <w:pPr>
              <w:spacing w:line="360" w:lineRule="auto"/>
              <w:ind w:right="84"/>
              <w:rPr>
                <w:position w:val="-40"/>
                <w:u w:val="single"/>
              </w:rPr>
            </w:pPr>
          </w:p>
        </w:tc>
        <w:tc>
          <w:tcPr>
            <w:tcW w:w="900" w:type="dxa"/>
          </w:tcPr>
          <w:p w14:paraId="17BA072F">
            <w:pPr>
              <w:spacing w:line="360" w:lineRule="auto"/>
              <w:ind w:right="84"/>
              <w:rPr>
                <w:position w:val="-40"/>
                <w:u w:val="single"/>
              </w:rPr>
            </w:pPr>
          </w:p>
        </w:tc>
        <w:tc>
          <w:tcPr>
            <w:tcW w:w="1404" w:type="dxa"/>
          </w:tcPr>
          <w:p w14:paraId="211912F5">
            <w:pPr>
              <w:spacing w:line="360" w:lineRule="auto"/>
              <w:ind w:right="84"/>
              <w:rPr>
                <w:position w:val="-40"/>
                <w:u w:val="single"/>
              </w:rPr>
            </w:pPr>
          </w:p>
        </w:tc>
      </w:tr>
    </w:tbl>
    <w:p w14:paraId="20E14514">
      <w:pPr>
        <w:spacing w:line="360" w:lineRule="auto"/>
        <w:ind w:right="84" w:firstLine="224" w:firstLineChars="100"/>
        <w:rPr>
          <w:sz w:val="24"/>
        </w:rPr>
      </w:pPr>
      <w:r>
        <w:rPr>
          <w:sz w:val="24"/>
        </w:rPr>
        <w:t>投标人名称：</w:t>
      </w:r>
    </w:p>
    <w:p w14:paraId="1AC359C6">
      <w:pPr>
        <w:spacing w:line="360" w:lineRule="auto"/>
        <w:ind w:right="84" w:firstLine="224" w:firstLineChars="100"/>
        <w:rPr>
          <w:sz w:val="24"/>
        </w:rPr>
      </w:pPr>
    </w:p>
    <w:p w14:paraId="4C1285E6">
      <w:pPr>
        <w:spacing w:line="360" w:lineRule="auto"/>
        <w:ind w:right="84" w:firstLine="224" w:firstLineChars="100"/>
        <w:rPr>
          <w:position w:val="-40"/>
          <w:sz w:val="24"/>
        </w:rPr>
      </w:pPr>
      <w:r>
        <w:rPr>
          <w:sz w:val="24"/>
        </w:rPr>
        <w:t>日期：</w:t>
      </w:r>
    </w:p>
    <w:p w14:paraId="17990535">
      <w:pPr>
        <w:widowControl/>
        <w:jc w:val="left"/>
        <w:rPr>
          <w:b/>
          <w:sz w:val="24"/>
          <w:szCs w:val="24"/>
        </w:rPr>
      </w:pPr>
      <w:r>
        <w:rPr>
          <w:b/>
          <w:sz w:val="24"/>
          <w:szCs w:val="24"/>
        </w:rPr>
        <w:br w:type="page"/>
      </w:r>
    </w:p>
    <w:p w14:paraId="66E16830">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6CC3A0B7">
      <w:pPr>
        <w:tabs>
          <w:tab w:val="left" w:pos="240"/>
        </w:tabs>
        <w:jc w:val="center"/>
        <w:rPr>
          <w:b/>
          <w:sz w:val="24"/>
          <w:szCs w:val="24"/>
        </w:rPr>
      </w:pPr>
      <w:r>
        <w:rPr>
          <w:b/>
          <w:sz w:val="24"/>
          <w:szCs w:val="24"/>
        </w:rPr>
        <w:t>采购人须向供应商提供的条件</w:t>
      </w:r>
    </w:p>
    <w:p w14:paraId="47FD04D3">
      <w:pPr>
        <w:tabs>
          <w:tab w:val="left" w:pos="240"/>
        </w:tabs>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17E8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4C5B7C47">
            <w:pPr>
              <w:tabs>
                <w:tab w:val="left" w:pos="240"/>
              </w:tabs>
              <w:jc w:val="center"/>
              <w:rPr>
                <w:position w:val="-50"/>
                <w:sz w:val="24"/>
              </w:rPr>
            </w:pPr>
            <w:r>
              <w:rPr>
                <w:position w:val="-50"/>
                <w:sz w:val="24"/>
              </w:rPr>
              <w:t>序号</w:t>
            </w:r>
          </w:p>
        </w:tc>
        <w:tc>
          <w:tcPr>
            <w:tcW w:w="1890" w:type="dxa"/>
            <w:tcBorders>
              <w:bottom w:val="single" w:color="auto" w:sz="4" w:space="0"/>
            </w:tcBorders>
          </w:tcPr>
          <w:p w14:paraId="478106D0">
            <w:pPr>
              <w:tabs>
                <w:tab w:val="left" w:pos="240"/>
              </w:tabs>
              <w:jc w:val="center"/>
              <w:rPr>
                <w:position w:val="-32"/>
                <w:sz w:val="24"/>
              </w:rPr>
            </w:pPr>
            <w:r>
              <w:rPr>
                <w:position w:val="-32"/>
                <w:sz w:val="24"/>
              </w:rPr>
              <w:t>设施或设备</w:t>
            </w:r>
          </w:p>
          <w:p w14:paraId="599B6379">
            <w:pPr>
              <w:tabs>
                <w:tab w:val="left" w:pos="240"/>
              </w:tabs>
              <w:jc w:val="center"/>
              <w:rPr>
                <w:sz w:val="24"/>
              </w:rPr>
            </w:pPr>
            <w:r>
              <w:rPr>
                <w:position w:val="-32"/>
                <w:sz w:val="24"/>
              </w:rPr>
              <w:t>名称</w:t>
            </w:r>
          </w:p>
        </w:tc>
        <w:tc>
          <w:tcPr>
            <w:tcW w:w="975" w:type="dxa"/>
            <w:tcBorders>
              <w:bottom w:val="single" w:color="auto" w:sz="4" w:space="0"/>
            </w:tcBorders>
          </w:tcPr>
          <w:p w14:paraId="24015BE7">
            <w:pPr>
              <w:tabs>
                <w:tab w:val="left" w:pos="240"/>
              </w:tabs>
              <w:jc w:val="center"/>
              <w:rPr>
                <w:position w:val="-50"/>
                <w:sz w:val="24"/>
              </w:rPr>
            </w:pPr>
            <w:r>
              <w:rPr>
                <w:position w:val="-50"/>
                <w:sz w:val="24"/>
              </w:rPr>
              <w:t>单位</w:t>
            </w:r>
          </w:p>
        </w:tc>
        <w:tc>
          <w:tcPr>
            <w:tcW w:w="996" w:type="dxa"/>
            <w:tcBorders>
              <w:bottom w:val="single" w:color="auto" w:sz="4" w:space="0"/>
            </w:tcBorders>
          </w:tcPr>
          <w:p w14:paraId="5E5E27E6">
            <w:pPr>
              <w:tabs>
                <w:tab w:val="left" w:pos="240"/>
              </w:tabs>
              <w:jc w:val="center"/>
              <w:rPr>
                <w:position w:val="-50"/>
                <w:sz w:val="24"/>
              </w:rPr>
            </w:pPr>
            <w:r>
              <w:rPr>
                <w:position w:val="-50"/>
                <w:sz w:val="24"/>
              </w:rPr>
              <w:t>数量</w:t>
            </w:r>
          </w:p>
        </w:tc>
        <w:tc>
          <w:tcPr>
            <w:tcW w:w="1494" w:type="dxa"/>
            <w:tcBorders>
              <w:bottom w:val="single" w:color="auto" w:sz="4" w:space="0"/>
            </w:tcBorders>
          </w:tcPr>
          <w:p w14:paraId="6187706F">
            <w:pPr>
              <w:tabs>
                <w:tab w:val="left" w:pos="240"/>
              </w:tabs>
              <w:jc w:val="center"/>
              <w:rPr>
                <w:position w:val="-32"/>
                <w:sz w:val="24"/>
              </w:rPr>
            </w:pPr>
            <w:r>
              <w:rPr>
                <w:position w:val="-32"/>
                <w:sz w:val="24"/>
              </w:rPr>
              <w:t>是否有偿提供</w:t>
            </w:r>
          </w:p>
        </w:tc>
        <w:tc>
          <w:tcPr>
            <w:tcW w:w="2409" w:type="dxa"/>
            <w:tcBorders>
              <w:bottom w:val="single" w:color="auto" w:sz="4" w:space="0"/>
            </w:tcBorders>
          </w:tcPr>
          <w:p w14:paraId="36257DD7">
            <w:pPr>
              <w:tabs>
                <w:tab w:val="left" w:pos="240"/>
              </w:tabs>
              <w:jc w:val="center"/>
              <w:rPr>
                <w:position w:val="-50"/>
                <w:sz w:val="24"/>
              </w:rPr>
            </w:pPr>
            <w:r>
              <w:rPr>
                <w:position w:val="-50"/>
                <w:sz w:val="24"/>
              </w:rPr>
              <w:t>如有偿提供的说明</w:t>
            </w:r>
          </w:p>
        </w:tc>
      </w:tr>
      <w:tr w14:paraId="00A4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02C4E2F2">
            <w:pPr>
              <w:tabs>
                <w:tab w:val="left" w:pos="240"/>
              </w:tabs>
            </w:pPr>
          </w:p>
          <w:p w14:paraId="625C4187">
            <w:pPr>
              <w:tabs>
                <w:tab w:val="left" w:pos="240"/>
              </w:tabs>
            </w:pPr>
          </w:p>
          <w:p w14:paraId="753AD8DB">
            <w:pPr>
              <w:tabs>
                <w:tab w:val="left" w:pos="240"/>
              </w:tabs>
            </w:pPr>
          </w:p>
          <w:p w14:paraId="1FD5CE1A">
            <w:pPr>
              <w:tabs>
                <w:tab w:val="left" w:pos="240"/>
              </w:tabs>
            </w:pPr>
          </w:p>
          <w:p w14:paraId="161CE403">
            <w:pPr>
              <w:tabs>
                <w:tab w:val="left" w:pos="240"/>
              </w:tabs>
            </w:pPr>
          </w:p>
          <w:p w14:paraId="67BFC5FC">
            <w:pPr>
              <w:tabs>
                <w:tab w:val="left" w:pos="240"/>
              </w:tabs>
            </w:pPr>
          </w:p>
          <w:p w14:paraId="483B34E4">
            <w:pPr>
              <w:tabs>
                <w:tab w:val="left" w:pos="240"/>
              </w:tabs>
            </w:pPr>
          </w:p>
          <w:p w14:paraId="5DE3D2E6">
            <w:pPr>
              <w:tabs>
                <w:tab w:val="left" w:pos="240"/>
              </w:tabs>
            </w:pPr>
          </w:p>
          <w:p w14:paraId="1E74FAE9">
            <w:pPr>
              <w:tabs>
                <w:tab w:val="left" w:pos="240"/>
              </w:tabs>
            </w:pPr>
          </w:p>
          <w:p w14:paraId="7746379C">
            <w:pPr>
              <w:tabs>
                <w:tab w:val="left" w:pos="240"/>
              </w:tabs>
            </w:pPr>
          </w:p>
          <w:p w14:paraId="0D4F46D9">
            <w:pPr>
              <w:tabs>
                <w:tab w:val="left" w:pos="240"/>
              </w:tabs>
            </w:pPr>
          </w:p>
          <w:p w14:paraId="1E1E385A">
            <w:pPr>
              <w:tabs>
                <w:tab w:val="left" w:pos="240"/>
              </w:tabs>
            </w:pPr>
          </w:p>
          <w:p w14:paraId="4C903160">
            <w:pPr>
              <w:tabs>
                <w:tab w:val="left" w:pos="240"/>
              </w:tabs>
            </w:pPr>
          </w:p>
          <w:p w14:paraId="19D94C64">
            <w:pPr>
              <w:tabs>
                <w:tab w:val="left" w:pos="240"/>
              </w:tabs>
            </w:pPr>
          </w:p>
          <w:p w14:paraId="30970C46">
            <w:pPr>
              <w:tabs>
                <w:tab w:val="left" w:pos="240"/>
              </w:tabs>
            </w:pPr>
          </w:p>
          <w:p w14:paraId="7914EBF3">
            <w:pPr>
              <w:tabs>
                <w:tab w:val="left" w:pos="240"/>
              </w:tabs>
            </w:pPr>
          </w:p>
          <w:p w14:paraId="61F4E839">
            <w:pPr>
              <w:tabs>
                <w:tab w:val="left" w:pos="240"/>
              </w:tabs>
            </w:pPr>
          </w:p>
          <w:p w14:paraId="02791729">
            <w:pPr>
              <w:tabs>
                <w:tab w:val="left" w:pos="240"/>
              </w:tabs>
            </w:pPr>
          </w:p>
          <w:p w14:paraId="16F96A63">
            <w:pPr>
              <w:tabs>
                <w:tab w:val="left" w:pos="240"/>
              </w:tabs>
            </w:pPr>
          </w:p>
          <w:p w14:paraId="279EA670">
            <w:pPr>
              <w:tabs>
                <w:tab w:val="left" w:pos="240"/>
              </w:tabs>
            </w:pPr>
          </w:p>
          <w:p w14:paraId="72FC8757">
            <w:pPr>
              <w:tabs>
                <w:tab w:val="left" w:pos="240"/>
              </w:tabs>
            </w:pPr>
          </w:p>
          <w:p w14:paraId="7204F5E9">
            <w:pPr>
              <w:tabs>
                <w:tab w:val="left" w:pos="240"/>
              </w:tabs>
            </w:pPr>
          </w:p>
          <w:p w14:paraId="45D6E1DE">
            <w:pPr>
              <w:tabs>
                <w:tab w:val="left" w:pos="240"/>
              </w:tabs>
            </w:pPr>
          </w:p>
          <w:p w14:paraId="6A0F0E91">
            <w:pPr>
              <w:tabs>
                <w:tab w:val="left" w:pos="240"/>
              </w:tabs>
            </w:pPr>
          </w:p>
          <w:p w14:paraId="3D0AC54D">
            <w:pPr>
              <w:tabs>
                <w:tab w:val="left" w:pos="240"/>
              </w:tabs>
            </w:pPr>
          </w:p>
        </w:tc>
        <w:tc>
          <w:tcPr>
            <w:tcW w:w="1890" w:type="dxa"/>
          </w:tcPr>
          <w:p w14:paraId="317F5DBD">
            <w:pPr>
              <w:tabs>
                <w:tab w:val="left" w:pos="240"/>
              </w:tabs>
            </w:pPr>
          </w:p>
        </w:tc>
        <w:tc>
          <w:tcPr>
            <w:tcW w:w="975" w:type="dxa"/>
          </w:tcPr>
          <w:p w14:paraId="4AE3EEC1">
            <w:pPr>
              <w:tabs>
                <w:tab w:val="left" w:pos="240"/>
              </w:tabs>
            </w:pPr>
          </w:p>
        </w:tc>
        <w:tc>
          <w:tcPr>
            <w:tcW w:w="996" w:type="dxa"/>
          </w:tcPr>
          <w:p w14:paraId="7C77B1D8">
            <w:pPr>
              <w:tabs>
                <w:tab w:val="left" w:pos="240"/>
              </w:tabs>
            </w:pPr>
          </w:p>
        </w:tc>
        <w:tc>
          <w:tcPr>
            <w:tcW w:w="1494" w:type="dxa"/>
          </w:tcPr>
          <w:p w14:paraId="3DCE701F">
            <w:pPr>
              <w:tabs>
                <w:tab w:val="left" w:pos="240"/>
              </w:tabs>
            </w:pPr>
          </w:p>
        </w:tc>
        <w:tc>
          <w:tcPr>
            <w:tcW w:w="2409" w:type="dxa"/>
          </w:tcPr>
          <w:p w14:paraId="5C9E0784">
            <w:pPr>
              <w:tabs>
                <w:tab w:val="left" w:pos="240"/>
              </w:tabs>
            </w:pPr>
          </w:p>
        </w:tc>
      </w:tr>
      <w:tr w14:paraId="086B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50F818C5">
            <w:pPr>
              <w:pStyle w:val="19"/>
            </w:pPr>
            <w:r>
              <w:t>备注：凡需采购人提供的设备、房屋、通讯及其他办公设施，应注明免费提供或不免费提供，如有偿提供，采购人承担多少，供应商承担多少，本表应详细列清。</w:t>
            </w:r>
          </w:p>
          <w:p w14:paraId="3672EFCD">
            <w:pPr>
              <w:tabs>
                <w:tab w:val="left" w:pos="240"/>
              </w:tabs>
            </w:pPr>
          </w:p>
        </w:tc>
      </w:tr>
    </w:tbl>
    <w:p w14:paraId="1C5F4BC7">
      <w:pPr>
        <w:tabs>
          <w:tab w:val="left" w:pos="240"/>
          <w:tab w:val="left" w:pos="7665"/>
        </w:tabs>
      </w:pPr>
    </w:p>
    <w:p w14:paraId="0898AAD5">
      <w:pPr>
        <w:spacing w:line="360" w:lineRule="auto"/>
        <w:ind w:right="84" w:firstLine="224" w:firstLineChars="100"/>
        <w:rPr>
          <w:sz w:val="24"/>
        </w:rPr>
      </w:pPr>
      <w:r>
        <w:rPr>
          <w:sz w:val="24"/>
        </w:rPr>
        <w:t>投标人名称：</w:t>
      </w:r>
    </w:p>
    <w:p w14:paraId="22A15F70">
      <w:pPr>
        <w:spacing w:line="360" w:lineRule="auto"/>
        <w:ind w:right="84" w:firstLine="224" w:firstLineChars="100"/>
        <w:rPr>
          <w:sz w:val="24"/>
        </w:rPr>
      </w:pPr>
    </w:p>
    <w:p w14:paraId="18BA1813">
      <w:pPr>
        <w:spacing w:line="360" w:lineRule="auto"/>
        <w:ind w:right="84" w:firstLine="224" w:firstLineChars="100"/>
        <w:rPr>
          <w:position w:val="-40"/>
          <w:sz w:val="24"/>
        </w:rPr>
      </w:pPr>
      <w:r>
        <w:rPr>
          <w:sz w:val="24"/>
        </w:rPr>
        <w:t>日期：</w:t>
      </w:r>
    </w:p>
    <w:p w14:paraId="4F459D82">
      <w:pPr>
        <w:widowControl/>
        <w:jc w:val="left"/>
        <w:rPr>
          <w:b/>
          <w:sz w:val="24"/>
        </w:rPr>
      </w:pPr>
      <w:r>
        <w:rPr>
          <w:b/>
          <w:sz w:val="24"/>
        </w:rPr>
        <w:br w:type="page"/>
      </w:r>
    </w:p>
    <w:p w14:paraId="6114A6B0">
      <w:pPr>
        <w:tabs>
          <w:tab w:val="left" w:pos="360"/>
        </w:tabs>
        <w:spacing w:line="360" w:lineRule="auto"/>
        <w:ind w:firstLine="448" w:firstLineChars="200"/>
        <w:rPr>
          <w:b/>
          <w:sz w:val="24"/>
        </w:rPr>
      </w:pPr>
      <w:r>
        <w:rPr>
          <w:b/>
          <w:sz w:val="24"/>
        </w:rPr>
        <w:t>附件1</w:t>
      </w:r>
      <w:r>
        <w:rPr>
          <w:rFonts w:hint="eastAsia"/>
          <w:b/>
          <w:sz w:val="24"/>
        </w:rPr>
        <w:t>3</w:t>
      </w:r>
    </w:p>
    <w:p w14:paraId="11318121">
      <w:pPr>
        <w:tabs>
          <w:tab w:val="left" w:pos="360"/>
        </w:tabs>
        <w:spacing w:line="360" w:lineRule="auto"/>
        <w:ind w:firstLine="448" w:firstLineChars="200"/>
        <w:rPr>
          <w:b/>
          <w:sz w:val="24"/>
        </w:rPr>
      </w:pPr>
    </w:p>
    <w:p w14:paraId="393BBA0E">
      <w:pPr>
        <w:tabs>
          <w:tab w:val="left" w:pos="360"/>
        </w:tabs>
        <w:spacing w:line="360" w:lineRule="auto"/>
        <w:jc w:val="center"/>
        <w:rPr>
          <w:b/>
          <w:bCs/>
          <w:sz w:val="24"/>
        </w:rPr>
      </w:pPr>
      <w:r>
        <w:rPr>
          <w:rFonts w:hint="eastAsia"/>
          <w:b/>
          <w:bCs/>
          <w:sz w:val="24"/>
        </w:rPr>
        <w:t>书面</w:t>
      </w:r>
      <w:r>
        <w:rPr>
          <w:b/>
          <w:bCs/>
          <w:sz w:val="24"/>
        </w:rPr>
        <w:t>声明</w:t>
      </w:r>
    </w:p>
    <w:p w14:paraId="1D63F022">
      <w:pPr>
        <w:pStyle w:val="37"/>
        <w:tabs>
          <w:tab w:val="left" w:pos="360"/>
        </w:tabs>
        <w:spacing w:line="360" w:lineRule="auto"/>
        <w:ind w:firstLine="446"/>
        <w:rPr>
          <w:sz w:val="24"/>
        </w:rPr>
      </w:pPr>
    </w:p>
    <w:p w14:paraId="2BB4AD75">
      <w:pPr>
        <w:pStyle w:val="37"/>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7C31CF21">
      <w:pPr>
        <w:pStyle w:val="37"/>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0086D1DF">
      <w:pPr>
        <w:pStyle w:val="37"/>
        <w:tabs>
          <w:tab w:val="left" w:pos="360"/>
        </w:tabs>
        <w:spacing w:line="360" w:lineRule="auto"/>
        <w:ind w:firstLine="446"/>
        <w:rPr>
          <w:sz w:val="24"/>
        </w:rPr>
      </w:pPr>
    </w:p>
    <w:p w14:paraId="14062EF6">
      <w:pPr>
        <w:autoSpaceDE w:val="0"/>
        <w:autoSpaceDN w:val="0"/>
        <w:spacing w:line="500" w:lineRule="exact"/>
        <w:ind w:left="3840"/>
        <w:jc w:val="left"/>
        <w:rPr>
          <w:sz w:val="24"/>
          <w:szCs w:val="24"/>
        </w:rPr>
      </w:pPr>
      <w:r>
        <w:rPr>
          <w:sz w:val="24"/>
          <w:szCs w:val="24"/>
        </w:rPr>
        <w:t>投标人名称：</w:t>
      </w:r>
    </w:p>
    <w:p w14:paraId="55149C97">
      <w:pPr>
        <w:autoSpaceDE w:val="0"/>
        <w:autoSpaceDN w:val="0"/>
        <w:spacing w:line="500" w:lineRule="exact"/>
        <w:ind w:left="3840"/>
        <w:jc w:val="left"/>
        <w:rPr>
          <w:sz w:val="24"/>
          <w:szCs w:val="24"/>
        </w:rPr>
      </w:pPr>
    </w:p>
    <w:p w14:paraId="292C61AA">
      <w:pPr>
        <w:autoSpaceDE w:val="0"/>
        <w:autoSpaceDN w:val="0"/>
        <w:spacing w:line="500" w:lineRule="exact"/>
        <w:ind w:left="3840"/>
        <w:jc w:val="left"/>
        <w:rPr>
          <w:sz w:val="24"/>
          <w:szCs w:val="24"/>
        </w:rPr>
      </w:pPr>
      <w:r>
        <w:rPr>
          <w:sz w:val="24"/>
          <w:szCs w:val="24"/>
        </w:rPr>
        <w:t>日期：</w:t>
      </w:r>
    </w:p>
    <w:p w14:paraId="7CB8AD56">
      <w:pPr>
        <w:autoSpaceDE w:val="0"/>
        <w:autoSpaceDN w:val="0"/>
        <w:spacing w:line="500" w:lineRule="exact"/>
        <w:ind w:left="3840"/>
        <w:jc w:val="left"/>
        <w:rPr>
          <w:sz w:val="24"/>
          <w:szCs w:val="24"/>
        </w:rPr>
      </w:pPr>
    </w:p>
    <w:p w14:paraId="364C3351">
      <w:pPr>
        <w:pStyle w:val="37"/>
        <w:tabs>
          <w:tab w:val="left" w:pos="360"/>
        </w:tabs>
        <w:spacing w:line="360" w:lineRule="auto"/>
        <w:ind w:firstLine="0" w:firstLineChars="0"/>
        <w:rPr>
          <w:sz w:val="24"/>
          <w:u w:val="single"/>
        </w:rPr>
      </w:pPr>
    </w:p>
    <w:p w14:paraId="07772CA3">
      <w:pPr>
        <w:pStyle w:val="37"/>
        <w:tabs>
          <w:tab w:val="left" w:pos="360"/>
        </w:tabs>
        <w:spacing w:line="360" w:lineRule="auto"/>
        <w:ind w:firstLine="446"/>
        <w:rPr>
          <w:sz w:val="24"/>
        </w:rPr>
      </w:pPr>
    </w:p>
    <w:p w14:paraId="2F5D33BD">
      <w:pPr>
        <w:pStyle w:val="37"/>
        <w:spacing w:line="360" w:lineRule="auto"/>
        <w:ind w:firstLine="0" w:firstLineChars="0"/>
        <w:jc w:val="center"/>
        <w:rPr>
          <w:b/>
          <w:sz w:val="24"/>
        </w:rPr>
      </w:pPr>
    </w:p>
    <w:p w14:paraId="09AF1B57">
      <w:pPr>
        <w:pStyle w:val="37"/>
        <w:spacing w:line="360" w:lineRule="auto"/>
        <w:ind w:firstLine="0" w:firstLineChars="0"/>
        <w:jc w:val="center"/>
        <w:rPr>
          <w:b/>
          <w:sz w:val="24"/>
        </w:rPr>
      </w:pPr>
    </w:p>
    <w:p w14:paraId="21DCD04F">
      <w:pPr>
        <w:pStyle w:val="37"/>
        <w:spacing w:line="360" w:lineRule="auto"/>
        <w:ind w:firstLine="0" w:firstLineChars="0"/>
        <w:jc w:val="center"/>
        <w:rPr>
          <w:b/>
          <w:sz w:val="24"/>
        </w:rPr>
      </w:pPr>
      <w:r>
        <w:rPr>
          <w:rFonts w:hint="eastAsia"/>
          <w:b/>
          <w:sz w:val="24"/>
        </w:rPr>
        <w:t>证明材料</w:t>
      </w:r>
    </w:p>
    <w:p w14:paraId="6BF5CDD3">
      <w:pPr>
        <w:pStyle w:val="37"/>
        <w:tabs>
          <w:tab w:val="left" w:pos="360"/>
        </w:tabs>
        <w:spacing w:line="360" w:lineRule="auto"/>
        <w:ind w:firstLine="446"/>
        <w:rPr>
          <w:sz w:val="24"/>
        </w:rPr>
      </w:pPr>
    </w:p>
    <w:p w14:paraId="205B30FB">
      <w:pPr>
        <w:pStyle w:val="37"/>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77DD68C4">
      <w:pPr>
        <w:pStyle w:val="37"/>
        <w:tabs>
          <w:tab w:val="left" w:pos="360"/>
        </w:tabs>
        <w:spacing w:line="360" w:lineRule="auto"/>
        <w:ind w:firstLine="446"/>
        <w:rPr>
          <w:sz w:val="24"/>
        </w:rPr>
      </w:pPr>
    </w:p>
    <w:p w14:paraId="6F196F4D">
      <w:pPr>
        <w:pStyle w:val="37"/>
        <w:tabs>
          <w:tab w:val="left" w:pos="360"/>
        </w:tabs>
        <w:spacing w:line="360" w:lineRule="auto"/>
        <w:ind w:firstLine="446"/>
        <w:rPr>
          <w:sz w:val="24"/>
        </w:rPr>
      </w:pPr>
    </w:p>
    <w:p w14:paraId="2C33CACA">
      <w:pPr>
        <w:autoSpaceDE w:val="0"/>
        <w:autoSpaceDN w:val="0"/>
        <w:spacing w:line="500" w:lineRule="exact"/>
        <w:ind w:left="3840"/>
        <w:jc w:val="left"/>
        <w:rPr>
          <w:sz w:val="24"/>
          <w:szCs w:val="24"/>
        </w:rPr>
      </w:pPr>
    </w:p>
    <w:p w14:paraId="19368F99">
      <w:pPr>
        <w:autoSpaceDE w:val="0"/>
        <w:autoSpaceDN w:val="0"/>
        <w:spacing w:line="500" w:lineRule="exact"/>
        <w:ind w:left="3840"/>
        <w:jc w:val="left"/>
        <w:rPr>
          <w:sz w:val="24"/>
          <w:szCs w:val="24"/>
        </w:rPr>
      </w:pPr>
    </w:p>
    <w:p w14:paraId="3EAE7C4A">
      <w:pPr>
        <w:autoSpaceDE w:val="0"/>
        <w:autoSpaceDN w:val="0"/>
        <w:spacing w:line="500" w:lineRule="exact"/>
        <w:ind w:left="3840"/>
        <w:jc w:val="left"/>
        <w:rPr>
          <w:sz w:val="24"/>
          <w:szCs w:val="24"/>
        </w:rPr>
      </w:pPr>
      <w:r>
        <w:rPr>
          <w:sz w:val="24"/>
          <w:szCs w:val="24"/>
        </w:rPr>
        <w:t>投标人名称：</w:t>
      </w:r>
    </w:p>
    <w:p w14:paraId="51F8A2CA">
      <w:pPr>
        <w:autoSpaceDE w:val="0"/>
        <w:autoSpaceDN w:val="0"/>
        <w:spacing w:line="500" w:lineRule="exact"/>
        <w:ind w:left="3840"/>
        <w:jc w:val="left"/>
        <w:rPr>
          <w:sz w:val="24"/>
          <w:szCs w:val="24"/>
        </w:rPr>
      </w:pPr>
    </w:p>
    <w:p w14:paraId="33ECC2F5">
      <w:pPr>
        <w:autoSpaceDE w:val="0"/>
        <w:autoSpaceDN w:val="0"/>
        <w:spacing w:line="500" w:lineRule="exact"/>
        <w:ind w:left="3840"/>
        <w:jc w:val="left"/>
        <w:rPr>
          <w:b/>
          <w:sz w:val="24"/>
        </w:rPr>
      </w:pPr>
      <w:r>
        <w:rPr>
          <w:sz w:val="24"/>
          <w:szCs w:val="24"/>
        </w:rPr>
        <w:t>日期：</w:t>
      </w:r>
      <w:r>
        <w:rPr>
          <w:b/>
          <w:sz w:val="24"/>
        </w:rPr>
        <w:br w:type="page"/>
      </w:r>
    </w:p>
    <w:p w14:paraId="1BF07EFB">
      <w:pPr>
        <w:spacing w:line="560" w:lineRule="exact"/>
        <w:jc w:val="left"/>
        <w:rPr>
          <w:b/>
          <w:sz w:val="24"/>
        </w:rPr>
      </w:pPr>
      <w:r>
        <w:rPr>
          <w:b/>
          <w:sz w:val="24"/>
        </w:rPr>
        <w:t>附件1</w:t>
      </w:r>
      <w:r>
        <w:rPr>
          <w:rFonts w:hint="eastAsia"/>
          <w:b/>
          <w:sz w:val="24"/>
        </w:rPr>
        <w:t>4</w:t>
      </w:r>
      <w:r>
        <w:rPr>
          <w:b/>
          <w:sz w:val="24"/>
        </w:rPr>
        <w:t>：投标人认为需要提供的其他资料</w:t>
      </w:r>
    </w:p>
    <w:p w14:paraId="571705F8">
      <w:pPr>
        <w:autoSpaceDE w:val="0"/>
        <w:autoSpaceDN w:val="0"/>
        <w:adjustRightInd w:val="0"/>
        <w:spacing w:line="560" w:lineRule="exact"/>
        <w:outlineLvl w:val="0"/>
        <w:rPr>
          <w:b/>
          <w:sz w:val="24"/>
        </w:rPr>
      </w:pPr>
    </w:p>
    <w:p w14:paraId="01331C33">
      <w:pPr>
        <w:spacing w:line="480" w:lineRule="auto"/>
        <w:rPr>
          <w:sz w:val="24"/>
          <w:szCs w:val="21"/>
        </w:rPr>
      </w:pPr>
    </w:p>
    <w:sectPr>
      <w:footerReference r:id="rId3"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auto"/>
    <w:pitch w:val="default"/>
    <w:sig w:usb0="E10002FF" w:usb1="4000FCFF" w:usb2="00000009" w:usb3="00000000" w:csb0="6000019F" w:csb1="DFD70000"/>
  </w:font>
  <w:font w:name=".......">
    <w:altName w:val="宋体"/>
    <w:panose1 w:val="00000000000000000000"/>
    <w:charset w:val="86"/>
    <w:family w:val="roman"/>
    <w:pitch w:val="default"/>
    <w:sig w:usb0="00000000" w:usb1="00000000" w:usb2="00000010" w:usb3="00000000" w:csb0="00040000" w:csb1="00000000"/>
  </w:font>
  <w:font w:name="����">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F7096">
    <w:pPr>
      <w:pStyle w:val="14"/>
      <w:jc w:val="center"/>
    </w:pPr>
    <w:r>
      <w:rPr>
        <w:b/>
      </w:rPr>
      <w:fldChar w:fldCharType="begin"/>
    </w:r>
    <w:r>
      <w:rPr>
        <w:b/>
      </w:rPr>
      <w:instrText xml:space="preserve">PAGE  \* Arabic  \* MERGEFORMAT</w:instrText>
    </w:r>
    <w:r>
      <w:rPr>
        <w:b/>
      </w:rPr>
      <w:fldChar w:fldCharType="separate"/>
    </w:r>
    <w:r>
      <w:rPr>
        <w:b/>
        <w:lang w:val="zh-CN"/>
      </w:rPr>
      <w:t>6</w:t>
    </w:r>
    <w:r>
      <w:rPr>
        <w:b/>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00215"/>
    <w:multiLevelType w:val="singleLevel"/>
    <w:tmpl w:val="9BD00215"/>
    <w:lvl w:ilvl="0" w:tentative="0">
      <w:start w:val="1"/>
      <w:numFmt w:val="decimal"/>
      <w:suff w:val="nothing"/>
      <w:lvlText w:val="%1、"/>
      <w:lvlJc w:val="left"/>
    </w:lvl>
  </w:abstractNum>
  <w:abstractNum w:abstractNumId="1">
    <w:nsid w:val="BCF5A594"/>
    <w:multiLevelType w:val="singleLevel"/>
    <w:tmpl w:val="BCF5A594"/>
    <w:lvl w:ilvl="0" w:tentative="0">
      <w:start w:val="2"/>
      <w:numFmt w:val="decimal"/>
      <w:suff w:val="nothing"/>
      <w:lvlText w:val="%1、"/>
      <w:lvlJc w:val="left"/>
    </w:lvl>
  </w:abstractNum>
  <w:abstractNum w:abstractNumId="2">
    <w:nsid w:val="DB4A9401"/>
    <w:multiLevelType w:val="singleLevel"/>
    <w:tmpl w:val="DB4A9401"/>
    <w:lvl w:ilvl="0" w:tentative="0">
      <w:start w:val="1"/>
      <w:numFmt w:val="decimal"/>
      <w:suff w:val="nothing"/>
      <w:lvlText w:val="%1、"/>
      <w:lvlJc w:val="left"/>
    </w:lvl>
  </w:abstractNum>
  <w:abstractNum w:abstractNumId="3">
    <w:nsid w:val="DF1D2495"/>
    <w:multiLevelType w:val="singleLevel"/>
    <w:tmpl w:val="DF1D2495"/>
    <w:lvl w:ilvl="0" w:tentative="0">
      <w:start w:val="1"/>
      <w:numFmt w:val="decimal"/>
      <w:suff w:val="nothing"/>
      <w:lvlText w:val="%1、"/>
      <w:lvlJc w:val="left"/>
    </w:lvl>
  </w:abstractNum>
  <w:abstractNum w:abstractNumId="4">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5">
    <w:nsid w:val="2E4CA392"/>
    <w:multiLevelType w:val="singleLevel"/>
    <w:tmpl w:val="2E4CA392"/>
    <w:lvl w:ilvl="0" w:tentative="0">
      <w:start w:val="1"/>
      <w:numFmt w:val="decimal"/>
      <w:suff w:val="nothing"/>
      <w:lvlText w:val="%1、"/>
      <w:lvlJc w:val="left"/>
    </w:lvl>
  </w:abstractNum>
  <w:abstractNum w:abstractNumId="6">
    <w:nsid w:val="367F6A45"/>
    <w:multiLevelType w:val="multilevel"/>
    <w:tmpl w:val="367F6A45"/>
    <w:lvl w:ilvl="0" w:tentative="0">
      <w:start w:val="1"/>
      <w:numFmt w:val="decimal"/>
      <w:pStyle w:val="5"/>
      <w:lvlText w:val="%1."/>
      <w:lvlJc w:val="left"/>
      <w:pPr>
        <w:ind w:left="360" w:hanging="360"/>
      </w:pPr>
      <w:rPr>
        <w:rFonts w:hint="default"/>
      </w:rPr>
    </w:lvl>
    <w:lvl w:ilvl="1" w:tentative="0">
      <w:start w:val="1"/>
      <w:numFmt w:val="decimal"/>
      <w:pStyle w:val="4"/>
      <w:lvlText w:val="%1.%2"/>
      <w:lvlJc w:val="left"/>
      <w:pPr>
        <w:tabs>
          <w:tab w:val="left" w:pos="432"/>
        </w:tabs>
        <w:ind w:left="432" w:hanging="432"/>
      </w:pPr>
      <w:rPr>
        <w:rFonts w:hint="default"/>
      </w:rPr>
    </w:lvl>
    <w:lvl w:ilvl="2" w:tentative="0">
      <w:start w:val="1"/>
      <w:numFmt w:val="lowerLetter"/>
      <w:pStyle w:val="9"/>
      <w:lvlText w:val="%3."/>
      <w:lvlJc w:val="left"/>
      <w:pPr>
        <w:ind w:left="792" w:hanging="360"/>
      </w:pPr>
      <w:rPr>
        <w:rFonts w:hint="default"/>
      </w:rPr>
    </w:lvl>
    <w:lvl w:ilvl="3" w:tentative="0">
      <w:start w:val="1"/>
      <w:numFmt w:val="lowerRoman"/>
      <w:pStyle w:val="11"/>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7">
    <w:nsid w:val="634797E9"/>
    <w:multiLevelType w:val="singleLevel"/>
    <w:tmpl w:val="634797E9"/>
    <w:lvl w:ilvl="0" w:tentative="0">
      <w:start w:val="1"/>
      <w:numFmt w:val="upperLetter"/>
      <w:suff w:val="space"/>
      <w:lvlText w:val="%1."/>
      <w:lvlJc w:val="left"/>
    </w:lvl>
  </w:abstractNum>
  <w:abstractNum w:abstractNumId="8">
    <w:nsid w:val="6354B328"/>
    <w:multiLevelType w:val="singleLevel"/>
    <w:tmpl w:val="6354B328"/>
    <w:lvl w:ilvl="0" w:tentative="0">
      <w:start w:val="1"/>
      <w:numFmt w:val="chineseCounting"/>
      <w:suff w:val="nothing"/>
      <w:lvlText w:val="%1、"/>
      <w:lvlJc w:val="left"/>
      <w:pPr>
        <w:ind w:left="0" w:firstLine="420"/>
      </w:pPr>
      <w:rPr>
        <w:rFonts w:hint="eastAsia"/>
      </w:rPr>
    </w:lvl>
  </w:abstractNum>
  <w:abstractNum w:abstractNumId="9">
    <w:nsid w:val="6354B3DC"/>
    <w:multiLevelType w:val="singleLevel"/>
    <w:tmpl w:val="6354B3DC"/>
    <w:lvl w:ilvl="0" w:tentative="0">
      <w:start w:val="1"/>
      <w:numFmt w:val="chineseCounting"/>
      <w:suff w:val="nothing"/>
      <w:lvlText w:val="（%1）"/>
      <w:lvlJc w:val="left"/>
      <w:pPr>
        <w:ind w:left="0" w:firstLine="420"/>
      </w:pPr>
      <w:rPr>
        <w:rFonts w:hint="eastAsia"/>
      </w:rPr>
    </w:lvl>
  </w:abstractNum>
  <w:abstractNum w:abstractNumId="10">
    <w:nsid w:val="6354B4E6"/>
    <w:multiLevelType w:val="singleLevel"/>
    <w:tmpl w:val="6354B4E6"/>
    <w:lvl w:ilvl="0" w:tentative="0">
      <w:start w:val="1"/>
      <w:numFmt w:val="decimal"/>
      <w:suff w:val="nothing"/>
      <w:lvlText w:val="%1．"/>
      <w:lvlJc w:val="left"/>
      <w:pPr>
        <w:ind w:left="0" w:firstLine="400"/>
      </w:pPr>
      <w:rPr>
        <w:rFonts w:hint="default"/>
      </w:rPr>
    </w:lvl>
  </w:abstractNum>
  <w:abstractNum w:abstractNumId="11">
    <w:nsid w:val="6354B542"/>
    <w:multiLevelType w:val="singleLevel"/>
    <w:tmpl w:val="6354B542"/>
    <w:lvl w:ilvl="0" w:tentative="0">
      <w:start w:val="1"/>
      <w:numFmt w:val="decimal"/>
      <w:suff w:val="nothing"/>
      <w:lvlText w:val="%1．"/>
      <w:lvlJc w:val="left"/>
      <w:pPr>
        <w:ind w:left="0" w:firstLine="400"/>
      </w:pPr>
      <w:rPr>
        <w:rFonts w:hint="default"/>
      </w:rPr>
    </w:lvl>
  </w:abstractNum>
  <w:abstractNum w:abstractNumId="12">
    <w:nsid w:val="6354B896"/>
    <w:multiLevelType w:val="singleLevel"/>
    <w:tmpl w:val="6354B896"/>
    <w:lvl w:ilvl="0" w:tentative="0">
      <w:start w:val="1"/>
      <w:numFmt w:val="chineseCounting"/>
      <w:suff w:val="nothing"/>
      <w:lvlText w:val="（%1）"/>
      <w:lvlJc w:val="left"/>
      <w:pPr>
        <w:ind w:left="0" w:firstLine="420"/>
      </w:pPr>
      <w:rPr>
        <w:rFonts w:hint="eastAsia"/>
      </w:rPr>
    </w:lvl>
  </w:abstractNum>
  <w:abstractNum w:abstractNumId="13">
    <w:nsid w:val="6F3A7664"/>
    <w:multiLevelType w:val="singleLevel"/>
    <w:tmpl w:val="6F3A7664"/>
    <w:lvl w:ilvl="0" w:tentative="0">
      <w:start w:val="1"/>
      <w:numFmt w:val="decimal"/>
      <w:suff w:val="nothing"/>
      <w:lvlText w:val="（%1）"/>
      <w:lvlJc w:val="left"/>
    </w:lvl>
  </w:abstractNum>
  <w:num w:numId="1">
    <w:abstractNumId w:val="6"/>
  </w:num>
  <w:num w:numId="2">
    <w:abstractNumId w:val="7"/>
  </w:num>
  <w:num w:numId="3">
    <w:abstractNumId w:val="13"/>
  </w:num>
  <w:num w:numId="4">
    <w:abstractNumId w:val="8"/>
  </w:num>
  <w:num w:numId="5">
    <w:abstractNumId w:val="12"/>
  </w:num>
  <w:num w:numId="6">
    <w:abstractNumId w:val="9"/>
  </w:num>
  <w:num w:numId="7">
    <w:abstractNumId w:val="10"/>
  </w:num>
  <w:num w:numId="8">
    <w:abstractNumId w:val="11"/>
  </w:num>
  <w:num w:numId="9">
    <w:abstractNumId w:val="0"/>
  </w:num>
  <w:num w:numId="10">
    <w:abstractNumId w:val="5"/>
  </w:num>
  <w:num w:numId="11">
    <w:abstractNumId w:val="2"/>
  </w:num>
  <w:num w:numId="12">
    <w:abstractNumId w:val="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NTFjZDUyMjczN2VlYmNmMGM4NjZkOTA5ZTkwNGQifQ=="/>
  </w:docVars>
  <w:rsids>
    <w:rsidRoot w:val="00325832"/>
    <w:rsid w:val="00000D09"/>
    <w:rsid w:val="00001FD1"/>
    <w:rsid w:val="00010DCF"/>
    <w:rsid w:val="00011B73"/>
    <w:rsid w:val="00013068"/>
    <w:rsid w:val="00013701"/>
    <w:rsid w:val="00017219"/>
    <w:rsid w:val="00017C2D"/>
    <w:rsid w:val="00025169"/>
    <w:rsid w:val="000279E6"/>
    <w:rsid w:val="000308AC"/>
    <w:rsid w:val="00032015"/>
    <w:rsid w:val="00034B13"/>
    <w:rsid w:val="00036A32"/>
    <w:rsid w:val="000403B6"/>
    <w:rsid w:val="0004130F"/>
    <w:rsid w:val="00042FFE"/>
    <w:rsid w:val="00045920"/>
    <w:rsid w:val="00046460"/>
    <w:rsid w:val="00050365"/>
    <w:rsid w:val="00055AED"/>
    <w:rsid w:val="00056208"/>
    <w:rsid w:val="0005643C"/>
    <w:rsid w:val="00056EF3"/>
    <w:rsid w:val="000607D4"/>
    <w:rsid w:val="00065BDD"/>
    <w:rsid w:val="00070115"/>
    <w:rsid w:val="0007081F"/>
    <w:rsid w:val="00071B4A"/>
    <w:rsid w:val="00072919"/>
    <w:rsid w:val="00074F44"/>
    <w:rsid w:val="000756A0"/>
    <w:rsid w:val="00075A17"/>
    <w:rsid w:val="00075AF1"/>
    <w:rsid w:val="00075C85"/>
    <w:rsid w:val="00076BA5"/>
    <w:rsid w:val="000826F9"/>
    <w:rsid w:val="00086439"/>
    <w:rsid w:val="00092400"/>
    <w:rsid w:val="000A260B"/>
    <w:rsid w:val="000A5CEA"/>
    <w:rsid w:val="000A62E5"/>
    <w:rsid w:val="000B1CA7"/>
    <w:rsid w:val="000B2975"/>
    <w:rsid w:val="000B4BF2"/>
    <w:rsid w:val="000B5BA1"/>
    <w:rsid w:val="000B78E8"/>
    <w:rsid w:val="000C1E8D"/>
    <w:rsid w:val="000C337F"/>
    <w:rsid w:val="000C4541"/>
    <w:rsid w:val="000C6CA8"/>
    <w:rsid w:val="000C7A3F"/>
    <w:rsid w:val="000D26D7"/>
    <w:rsid w:val="000D2F5A"/>
    <w:rsid w:val="000D321F"/>
    <w:rsid w:val="000D3C29"/>
    <w:rsid w:val="000D514E"/>
    <w:rsid w:val="000D5DE9"/>
    <w:rsid w:val="000E50F9"/>
    <w:rsid w:val="000E5380"/>
    <w:rsid w:val="000E6A76"/>
    <w:rsid w:val="000F08EE"/>
    <w:rsid w:val="000F1202"/>
    <w:rsid w:val="000F1454"/>
    <w:rsid w:val="000F48D9"/>
    <w:rsid w:val="000F4D4E"/>
    <w:rsid w:val="000F5C82"/>
    <w:rsid w:val="000F6957"/>
    <w:rsid w:val="00104B79"/>
    <w:rsid w:val="001143EC"/>
    <w:rsid w:val="001165C6"/>
    <w:rsid w:val="00121CDE"/>
    <w:rsid w:val="00123BF8"/>
    <w:rsid w:val="001256ED"/>
    <w:rsid w:val="0012609D"/>
    <w:rsid w:val="001303B1"/>
    <w:rsid w:val="00130AD2"/>
    <w:rsid w:val="00130B12"/>
    <w:rsid w:val="00132342"/>
    <w:rsid w:val="00136F51"/>
    <w:rsid w:val="0014031B"/>
    <w:rsid w:val="001411F4"/>
    <w:rsid w:val="00141664"/>
    <w:rsid w:val="001418B8"/>
    <w:rsid w:val="00143B4D"/>
    <w:rsid w:val="0014712D"/>
    <w:rsid w:val="001524A8"/>
    <w:rsid w:val="00154813"/>
    <w:rsid w:val="001548C7"/>
    <w:rsid w:val="00155128"/>
    <w:rsid w:val="001659F0"/>
    <w:rsid w:val="00166A23"/>
    <w:rsid w:val="001704C8"/>
    <w:rsid w:val="001707F2"/>
    <w:rsid w:val="00173561"/>
    <w:rsid w:val="00176E4F"/>
    <w:rsid w:val="00181ED5"/>
    <w:rsid w:val="001834DA"/>
    <w:rsid w:val="001837F4"/>
    <w:rsid w:val="00184B7F"/>
    <w:rsid w:val="00185D85"/>
    <w:rsid w:val="00190D07"/>
    <w:rsid w:val="00193BCD"/>
    <w:rsid w:val="0019431D"/>
    <w:rsid w:val="00194FBC"/>
    <w:rsid w:val="00196A86"/>
    <w:rsid w:val="00196D6B"/>
    <w:rsid w:val="00196E07"/>
    <w:rsid w:val="001A0C29"/>
    <w:rsid w:val="001A142F"/>
    <w:rsid w:val="001A2919"/>
    <w:rsid w:val="001A3DE3"/>
    <w:rsid w:val="001A46F9"/>
    <w:rsid w:val="001A54DD"/>
    <w:rsid w:val="001A651E"/>
    <w:rsid w:val="001B1EE8"/>
    <w:rsid w:val="001B5BEA"/>
    <w:rsid w:val="001B72DA"/>
    <w:rsid w:val="001B78FF"/>
    <w:rsid w:val="001C0E64"/>
    <w:rsid w:val="001C1981"/>
    <w:rsid w:val="001C1AFF"/>
    <w:rsid w:val="001C3CB7"/>
    <w:rsid w:val="001C50CC"/>
    <w:rsid w:val="001C68F2"/>
    <w:rsid w:val="001D1850"/>
    <w:rsid w:val="001D4FB9"/>
    <w:rsid w:val="001D5102"/>
    <w:rsid w:val="001E2963"/>
    <w:rsid w:val="001E3CB7"/>
    <w:rsid w:val="001E5483"/>
    <w:rsid w:val="001F2B50"/>
    <w:rsid w:val="001F345B"/>
    <w:rsid w:val="001F4AD6"/>
    <w:rsid w:val="001F65EF"/>
    <w:rsid w:val="001F6DCF"/>
    <w:rsid w:val="002027E3"/>
    <w:rsid w:val="00206328"/>
    <w:rsid w:val="00206449"/>
    <w:rsid w:val="002113A2"/>
    <w:rsid w:val="00212E26"/>
    <w:rsid w:val="00214D65"/>
    <w:rsid w:val="00215764"/>
    <w:rsid w:val="0021638D"/>
    <w:rsid w:val="00217F59"/>
    <w:rsid w:val="00220883"/>
    <w:rsid w:val="00230077"/>
    <w:rsid w:val="002320BD"/>
    <w:rsid w:val="00233239"/>
    <w:rsid w:val="00234778"/>
    <w:rsid w:val="002369E5"/>
    <w:rsid w:val="00240A5B"/>
    <w:rsid w:val="00243DC1"/>
    <w:rsid w:val="00244482"/>
    <w:rsid w:val="00245D22"/>
    <w:rsid w:val="0024790F"/>
    <w:rsid w:val="00247A26"/>
    <w:rsid w:val="00250531"/>
    <w:rsid w:val="002510DD"/>
    <w:rsid w:val="00251ED7"/>
    <w:rsid w:val="00253145"/>
    <w:rsid w:val="0025399D"/>
    <w:rsid w:val="00256A4A"/>
    <w:rsid w:val="00256FF5"/>
    <w:rsid w:val="002575F6"/>
    <w:rsid w:val="00261C83"/>
    <w:rsid w:val="0026461A"/>
    <w:rsid w:val="00264E8A"/>
    <w:rsid w:val="00265753"/>
    <w:rsid w:val="00265B2C"/>
    <w:rsid w:val="00266956"/>
    <w:rsid w:val="00266AAA"/>
    <w:rsid w:val="00270513"/>
    <w:rsid w:val="00274CF5"/>
    <w:rsid w:val="00275C48"/>
    <w:rsid w:val="00277AEF"/>
    <w:rsid w:val="002804EC"/>
    <w:rsid w:val="00280C49"/>
    <w:rsid w:val="00283662"/>
    <w:rsid w:val="00292BE5"/>
    <w:rsid w:val="00293728"/>
    <w:rsid w:val="00293B4A"/>
    <w:rsid w:val="002948B5"/>
    <w:rsid w:val="00294986"/>
    <w:rsid w:val="00294EAF"/>
    <w:rsid w:val="00295416"/>
    <w:rsid w:val="00295883"/>
    <w:rsid w:val="0029610C"/>
    <w:rsid w:val="00297EAE"/>
    <w:rsid w:val="002A4B3C"/>
    <w:rsid w:val="002A5E55"/>
    <w:rsid w:val="002A7AEA"/>
    <w:rsid w:val="002B3887"/>
    <w:rsid w:val="002B3BB4"/>
    <w:rsid w:val="002B3BFC"/>
    <w:rsid w:val="002B4BC0"/>
    <w:rsid w:val="002B50EF"/>
    <w:rsid w:val="002B538F"/>
    <w:rsid w:val="002C05E5"/>
    <w:rsid w:val="002C696D"/>
    <w:rsid w:val="002D09CD"/>
    <w:rsid w:val="002D17E4"/>
    <w:rsid w:val="002D1D64"/>
    <w:rsid w:val="002D5B4E"/>
    <w:rsid w:val="002E079A"/>
    <w:rsid w:val="002E1053"/>
    <w:rsid w:val="002E4551"/>
    <w:rsid w:val="002E6D18"/>
    <w:rsid w:val="002E796B"/>
    <w:rsid w:val="002F1119"/>
    <w:rsid w:val="002F245E"/>
    <w:rsid w:val="002F4792"/>
    <w:rsid w:val="002F4FD8"/>
    <w:rsid w:val="002F7120"/>
    <w:rsid w:val="002F7322"/>
    <w:rsid w:val="003036EA"/>
    <w:rsid w:val="0031086D"/>
    <w:rsid w:val="00312763"/>
    <w:rsid w:val="00313073"/>
    <w:rsid w:val="0031461A"/>
    <w:rsid w:val="003159EF"/>
    <w:rsid w:val="00315E02"/>
    <w:rsid w:val="00320416"/>
    <w:rsid w:val="00321DA5"/>
    <w:rsid w:val="00322EA4"/>
    <w:rsid w:val="00325832"/>
    <w:rsid w:val="00325D0D"/>
    <w:rsid w:val="00330315"/>
    <w:rsid w:val="0033138A"/>
    <w:rsid w:val="00336C99"/>
    <w:rsid w:val="00343849"/>
    <w:rsid w:val="00343BA7"/>
    <w:rsid w:val="003473CD"/>
    <w:rsid w:val="0035257E"/>
    <w:rsid w:val="00355EEA"/>
    <w:rsid w:val="003562E3"/>
    <w:rsid w:val="00356309"/>
    <w:rsid w:val="00357222"/>
    <w:rsid w:val="00364265"/>
    <w:rsid w:val="00367868"/>
    <w:rsid w:val="003678BC"/>
    <w:rsid w:val="0037085F"/>
    <w:rsid w:val="00371639"/>
    <w:rsid w:val="00373357"/>
    <w:rsid w:val="00373C07"/>
    <w:rsid w:val="00374D2C"/>
    <w:rsid w:val="00377781"/>
    <w:rsid w:val="003778E8"/>
    <w:rsid w:val="00381EC7"/>
    <w:rsid w:val="00381F52"/>
    <w:rsid w:val="003839AE"/>
    <w:rsid w:val="00383A58"/>
    <w:rsid w:val="00383C1D"/>
    <w:rsid w:val="003904F7"/>
    <w:rsid w:val="003918BD"/>
    <w:rsid w:val="00391FD0"/>
    <w:rsid w:val="0039235B"/>
    <w:rsid w:val="003924AE"/>
    <w:rsid w:val="003926CA"/>
    <w:rsid w:val="00394B36"/>
    <w:rsid w:val="00395727"/>
    <w:rsid w:val="003A2FCD"/>
    <w:rsid w:val="003A4245"/>
    <w:rsid w:val="003A4B1D"/>
    <w:rsid w:val="003A543A"/>
    <w:rsid w:val="003A7FEB"/>
    <w:rsid w:val="003B6D2D"/>
    <w:rsid w:val="003B78E0"/>
    <w:rsid w:val="003C71A3"/>
    <w:rsid w:val="003C7A89"/>
    <w:rsid w:val="003D28DC"/>
    <w:rsid w:val="003D2EF8"/>
    <w:rsid w:val="003E0DD8"/>
    <w:rsid w:val="003E2404"/>
    <w:rsid w:val="003E2BBE"/>
    <w:rsid w:val="003E4B1B"/>
    <w:rsid w:val="003E5355"/>
    <w:rsid w:val="003E5E39"/>
    <w:rsid w:val="003E6E8F"/>
    <w:rsid w:val="003E71CA"/>
    <w:rsid w:val="003F26E5"/>
    <w:rsid w:val="003F64B7"/>
    <w:rsid w:val="003F68DF"/>
    <w:rsid w:val="003F6B18"/>
    <w:rsid w:val="003F7025"/>
    <w:rsid w:val="0040134A"/>
    <w:rsid w:val="00402BE6"/>
    <w:rsid w:val="00403986"/>
    <w:rsid w:val="0040553A"/>
    <w:rsid w:val="004055D4"/>
    <w:rsid w:val="0040569C"/>
    <w:rsid w:val="00410A95"/>
    <w:rsid w:val="00411416"/>
    <w:rsid w:val="00412894"/>
    <w:rsid w:val="00413972"/>
    <w:rsid w:val="004153D6"/>
    <w:rsid w:val="00415D1E"/>
    <w:rsid w:val="00415D39"/>
    <w:rsid w:val="00416AFE"/>
    <w:rsid w:val="004176FC"/>
    <w:rsid w:val="00424BD8"/>
    <w:rsid w:val="00424D37"/>
    <w:rsid w:val="00424F07"/>
    <w:rsid w:val="004261C2"/>
    <w:rsid w:val="004267C9"/>
    <w:rsid w:val="00427249"/>
    <w:rsid w:val="00427F8D"/>
    <w:rsid w:val="00431536"/>
    <w:rsid w:val="00431C42"/>
    <w:rsid w:val="00432C99"/>
    <w:rsid w:val="004377AC"/>
    <w:rsid w:val="00437DB0"/>
    <w:rsid w:val="00441FDF"/>
    <w:rsid w:val="004424FE"/>
    <w:rsid w:val="00443C74"/>
    <w:rsid w:val="00445313"/>
    <w:rsid w:val="00446120"/>
    <w:rsid w:val="004519C8"/>
    <w:rsid w:val="00454160"/>
    <w:rsid w:val="004559D5"/>
    <w:rsid w:val="00455F7E"/>
    <w:rsid w:val="00457B84"/>
    <w:rsid w:val="00457E92"/>
    <w:rsid w:val="0046017F"/>
    <w:rsid w:val="00460809"/>
    <w:rsid w:val="00461A5D"/>
    <w:rsid w:val="00462456"/>
    <w:rsid w:val="00467BBC"/>
    <w:rsid w:val="00472C82"/>
    <w:rsid w:val="004740E4"/>
    <w:rsid w:val="004748EF"/>
    <w:rsid w:val="004756C5"/>
    <w:rsid w:val="00480BCD"/>
    <w:rsid w:val="004826E0"/>
    <w:rsid w:val="004833B1"/>
    <w:rsid w:val="00495ECD"/>
    <w:rsid w:val="004A0F57"/>
    <w:rsid w:val="004A18BA"/>
    <w:rsid w:val="004A1E95"/>
    <w:rsid w:val="004A3709"/>
    <w:rsid w:val="004A3B65"/>
    <w:rsid w:val="004A4E98"/>
    <w:rsid w:val="004A59B1"/>
    <w:rsid w:val="004A7516"/>
    <w:rsid w:val="004A7F72"/>
    <w:rsid w:val="004B2DBB"/>
    <w:rsid w:val="004B725D"/>
    <w:rsid w:val="004C13B0"/>
    <w:rsid w:val="004C3AC0"/>
    <w:rsid w:val="004C4386"/>
    <w:rsid w:val="004D02AD"/>
    <w:rsid w:val="004D30C6"/>
    <w:rsid w:val="004D5F22"/>
    <w:rsid w:val="004D6293"/>
    <w:rsid w:val="004D6546"/>
    <w:rsid w:val="004E0B40"/>
    <w:rsid w:val="004E3000"/>
    <w:rsid w:val="004E38E3"/>
    <w:rsid w:val="004E5EC6"/>
    <w:rsid w:val="004E6148"/>
    <w:rsid w:val="004F55DE"/>
    <w:rsid w:val="004F73AC"/>
    <w:rsid w:val="004F7B5C"/>
    <w:rsid w:val="00502349"/>
    <w:rsid w:val="00502D44"/>
    <w:rsid w:val="00505330"/>
    <w:rsid w:val="00506C8E"/>
    <w:rsid w:val="00506CD1"/>
    <w:rsid w:val="005131C3"/>
    <w:rsid w:val="00513A4E"/>
    <w:rsid w:val="005152A6"/>
    <w:rsid w:val="005201BE"/>
    <w:rsid w:val="00524604"/>
    <w:rsid w:val="00525EE9"/>
    <w:rsid w:val="0053021A"/>
    <w:rsid w:val="00530D50"/>
    <w:rsid w:val="00531FCF"/>
    <w:rsid w:val="005329BE"/>
    <w:rsid w:val="0053326A"/>
    <w:rsid w:val="005334B4"/>
    <w:rsid w:val="005349D4"/>
    <w:rsid w:val="00537D63"/>
    <w:rsid w:val="005407BF"/>
    <w:rsid w:val="00542508"/>
    <w:rsid w:val="00543FCF"/>
    <w:rsid w:val="00544107"/>
    <w:rsid w:val="005449BE"/>
    <w:rsid w:val="005506BE"/>
    <w:rsid w:val="005506C7"/>
    <w:rsid w:val="005506CE"/>
    <w:rsid w:val="0055079B"/>
    <w:rsid w:val="00550B2F"/>
    <w:rsid w:val="00555DDD"/>
    <w:rsid w:val="0055739D"/>
    <w:rsid w:val="0056011E"/>
    <w:rsid w:val="00562957"/>
    <w:rsid w:val="0056453E"/>
    <w:rsid w:val="00566BB4"/>
    <w:rsid w:val="00570D6F"/>
    <w:rsid w:val="0057120E"/>
    <w:rsid w:val="00571853"/>
    <w:rsid w:val="005718A8"/>
    <w:rsid w:val="00572118"/>
    <w:rsid w:val="00572CCF"/>
    <w:rsid w:val="00572E0A"/>
    <w:rsid w:val="005737C6"/>
    <w:rsid w:val="00575DF4"/>
    <w:rsid w:val="00577B4C"/>
    <w:rsid w:val="00577CA1"/>
    <w:rsid w:val="00580546"/>
    <w:rsid w:val="005842A0"/>
    <w:rsid w:val="0058472E"/>
    <w:rsid w:val="00584D37"/>
    <w:rsid w:val="0059473B"/>
    <w:rsid w:val="005953CA"/>
    <w:rsid w:val="00595C28"/>
    <w:rsid w:val="005960BA"/>
    <w:rsid w:val="005A2314"/>
    <w:rsid w:val="005A6731"/>
    <w:rsid w:val="005B352D"/>
    <w:rsid w:val="005B4C78"/>
    <w:rsid w:val="005B631B"/>
    <w:rsid w:val="005B6420"/>
    <w:rsid w:val="005C1E11"/>
    <w:rsid w:val="005C463B"/>
    <w:rsid w:val="005C5EB1"/>
    <w:rsid w:val="005C67E5"/>
    <w:rsid w:val="005C78DB"/>
    <w:rsid w:val="005D1B17"/>
    <w:rsid w:val="005D1B86"/>
    <w:rsid w:val="005D3683"/>
    <w:rsid w:val="005D3AB2"/>
    <w:rsid w:val="005D792B"/>
    <w:rsid w:val="005E0072"/>
    <w:rsid w:val="005E2966"/>
    <w:rsid w:val="005E6149"/>
    <w:rsid w:val="005E7FF4"/>
    <w:rsid w:val="005F09CC"/>
    <w:rsid w:val="005F2890"/>
    <w:rsid w:val="005F297C"/>
    <w:rsid w:val="005F3EB2"/>
    <w:rsid w:val="006001B2"/>
    <w:rsid w:val="006014DA"/>
    <w:rsid w:val="006021BF"/>
    <w:rsid w:val="006038D0"/>
    <w:rsid w:val="006044CF"/>
    <w:rsid w:val="00610C4A"/>
    <w:rsid w:val="006117A3"/>
    <w:rsid w:val="00611A86"/>
    <w:rsid w:val="00612BD3"/>
    <w:rsid w:val="00615EF2"/>
    <w:rsid w:val="00616B13"/>
    <w:rsid w:val="00620130"/>
    <w:rsid w:val="00622893"/>
    <w:rsid w:val="00625361"/>
    <w:rsid w:val="0062548D"/>
    <w:rsid w:val="00627EB6"/>
    <w:rsid w:val="00630B07"/>
    <w:rsid w:val="00631029"/>
    <w:rsid w:val="00632268"/>
    <w:rsid w:val="00632AB5"/>
    <w:rsid w:val="00633921"/>
    <w:rsid w:val="00635DAE"/>
    <w:rsid w:val="00637E05"/>
    <w:rsid w:val="00641765"/>
    <w:rsid w:val="00641801"/>
    <w:rsid w:val="00645C89"/>
    <w:rsid w:val="00647642"/>
    <w:rsid w:val="006478CA"/>
    <w:rsid w:val="00660A72"/>
    <w:rsid w:val="006633CF"/>
    <w:rsid w:val="0066588E"/>
    <w:rsid w:val="00665F3D"/>
    <w:rsid w:val="00670BE5"/>
    <w:rsid w:val="006741E5"/>
    <w:rsid w:val="006802EF"/>
    <w:rsid w:val="00685987"/>
    <w:rsid w:val="00690AD3"/>
    <w:rsid w:val="006910E6"/>
    <w:rsid w:val="00692004"/>
    <w:rsid w:val="00695302"/>
    <w:rsid w:val="00695CDD"/>
    <w:rsid w:val="0069681C"/>
    <w:rsid w:val="006A1C8A"/>
    <w:rsid w:val="006A437D"/>
    <w:rsid w:val="006A4BDB"/>
    <w:rsid w:val="006A5D28"/>
    <w:rsid w:val="006A6F51"/>
    <w:rsid w:val="006A75E7"/>
    <w:rsid w:val="006B0EC3"/>
    <w:rsid w:val="006B52A7"/>
    <w:rsid w:val="006B5D2F"/>
    <w:rsid w:val="006C0461"/>
    <w:rsid w:val="006C12C7"/>
    <w:rsid w:val="006C23C2"/>
    <w:rsid w:val="006C4521"/>
    <w:rsid w:val="006C59A5"/>
    <w:rsid w:val="006C5D2F"/>
    <w:rsid w:val="006C7FB3"/>
    <w:rsid w:val="006D629A"/>
    <w:rsid w:val="006E0CD2"/>
    <w:rsid w:val="006E1997"/>
    <w:rsid w:val="006E2EB7"/>
    <w:rsid w:val="006E5A80"/>
    <w:rsid w:val="006E63C3"/>
    <w:rsid w:val="006E76A5"/>
    <w:rsid w:val="006F0645"/>
    <w:rsid w:val="006F1700"/>
    <w:rsid w:val="006F239F"/>
    <w:rsid w:val="006F436C"/>
    <w:rsid w:val="0070070A"/>
    <w:rsid w:val="0071193F"/>
    <w:rsid w:val="0071367F"/>
    <w:rsid w:val="007236BA"/>
    <w:rsid w:val="007238DD"/>
    <w:rsid w:val="00723D02"/>
    <w:rsid w:val="00723D84"/>
    <w:rsid w:val="00723EDE"/>
    <w:rsid w:val="00724717"/>
    <w:rsid w:val="00725838"/>
    <w:rsid w:val="0072660C"/>
    <w:rsid w:val="007268B8"/>
    <w:rsid w:val="00726F9F"/>
    <w:rsid w:val="00727446"/>
    <w:rsid w:val="00727CF8"/>
    <w:rsid w:val="00730404"/>
    <w:rsid w:val="00731AB7"/>
    <w:rsid w:val="0074180F"/>
    <w:rsid w:val="007446DE"/>
    <w:rsid w:val="00745DED"/>
    <w:rsid w:val="00746019"/>
    <w:rsid w:val="00746D3F"/>
    <w:rsid w:val="00750AB2"/>
    <w:rsid w:val="007532A0"/>
    <w:rsid w:val="00755358"/>
    <w:rsid w:val="007558DB"/>
    <w:rsid w:val="00755AB9"/>
    <w:rsid w:val="007567B6"/>
    <w:rsid w:val="00756DFF"/>
    <w:rsid w:val="00756FFA"/>
    <w:rsid w:val="00757FB9"/>
    <w:rsid w:val="00760746"/>
    <w:rsid w:val="00765303"/>
    <w:rsid w:val="00766299"/>
    <w:rsid w:val="00766870"/>
    <w:rsid w:val="00767923"/>
    <w:rsid w:val="007702C7"/>
    <w:rsid w:val="007737A3"/>
    <w:rsid w:val="007738A0"/>
    <w:rsid w:val="0077606A"/>
    <w:rsid w:val="0078146D"/>
    <w:rsid w:val="00781801"/>
    <w:rsid w:val="0078318D"/>
    <w:rsid w:val="00784C33"/>
    <w:rsid w:val="0079363C"/>
    <w:rsid w:val="00793B6E"/>
    <w:rsid w:val="0079785B"/>
    <w:rsid w:val="007A4BB5"/>
    <w:rsid w:val="007A4FB6"/>
    <w:rsid w:val="007A5AEB"/>
    <w:rsid w:val="007A6AA6"/>
    <w:rsid w:val="007B1550"/>
    <w:rsid w:val="007B1B3A"/>
    <w:rsid w:val="007B2632"/>
    <w:rsid w:val="007B4E82"/>
    <w:rsid w:val="007B5D7F"/>
    <w:rsid w:val="007B66EC"/>
    <w:rsid w:val="007B7C1E"/>
    <w:rsid w:val="007C1B8F"/>
    <w:rsid w:val="007C1D1B"/>
    <w:rsid w:val="007C5329"/>
    <w:rsid w:val="007D6EC1"/>
    <w:rsid w:val="007E0835"/>
    <w:rsid w:val="007E4CD6"/>
    <w:rsid w:val="007E73D8"/>
    <w:rsid w:val="007F1574"/>
    <w:rsid w:val="007F1F0C"/>
    <w:rsid w:val="007F5589"/>
    <w:rsid w:val="007F55DE"/>
    <w:rsid w:val="007F6327"/>
    <w:rsid w:val="007F79A8"/>
    <w:rsid w:val="008005A8"/>
    <w:rsid w:val="00802CE5"/>
    <w:rsid w:val="00805098"/>
    <w:rsid w:val="00807A77"/>
    <w:rsid w:val="00814C9A"/>
    <w:rsid w:val="0081595F"/>
    <w:rsid w:val="00823A7E"/>
    <w:rsid w:val="008259FC"/>
    <w:rsid w:val="008304DA"/>
    <w:rsid w:val="00832534"/>
    <w:rsid w:val="0083284E"/>
    <w:rsid w:val="00834EDE"/>
    <w:rsid w:val="00835D1F"/>
    <w:rsid w:val="00837228"/>
    <w:rsid w:val="008444AE"/>
    <w:rsid w:val="008465BF"/>
    <w:rsid w:val="00847657"/>
    <w:rsid w:val="008503B3"/>
    <w:rsid w:val="00851B4B"/>
    <w:rsid w:val="008527D8"/>
    <w:rsid w:val="00852A19"/>
    <w:rsid w:val="00852DD8"/>
    <w:rsid w:val="00852EBB"/>
    <w:rsid w:val="008545E7"/>
    <w:rsid w:val="0085585F"/>
    <w:rsid w:val="00855FFB"/>
    <w:rsid w:val="00856C7F"/>
    <w:rsid w:val="00861293"/>
    <w:rsid w:val="00865EB1"/>
    <w:rsid w:val="0086630A"/>
    <w:rsid w:val="0087065C"/>
    <w:rsid w:val="00872A7C"/>
    <w:rsid w:val="00873081"/>
    <w:rsid w:val="00874016"/>
    <w:rsid w:val="008763F1"/>
    <w:rsid w:val="00880769"/>
    <w:rsid w:val="00883479"/>
    <w:rsid w:val="00885DD4"/>
    <w:rsid w:val="00886809"/>
    <w:rsid w:val="0088750D"/>
    <w:rsid w:val="008879C5"/>
    <w:rsid w:val="00890051"/>
    <w:rsid w:val="00890E84"/>
    <w:rsid w:val="0089306D"/>
    <w:rsid w:val="008951B3"/>
    <w:rsid w:val="00895914"/>
    <w:rsid w:val="008A1E8A"/>
    <w:rsid w:val="008A64B8"/>
    <w:rsid w:val="008B202B"/>
    <w:rsid w:val="008B3001"/>
    <w:rsid w:val="008B3CFE"/>
    <w:rsid w:val="008B5DBC"/>
    <w:rsid w:val="008B73BC"/>
    <w:rsid w:val="008C3C92"/>
    <w:rsid w:val="008C4E8A"/>
    <w:rsid w:val="008C73D5"/>
    <w:rsid w:val="008D394D"/>
    <w:rsid w:val="008D4422"/>
    <w:rsid w:val="008D640B"/>
    <w:rsid w:val="008E3C04"/>
    <w:rsid w:val="008E56E2"/>
    <w:rsid w:val="008E57F5"/>
    <w:rsid w:val="008F2FC7"/>
    <w:rsid w:val="008F35A8"/>
    <w:rsid w:val="008F46E4"/>
    <w:rsid w:val="009016E3"/>
    <w:rsid w:val="009018EF"/>
    <w:rsid w:val="009039FB"/>
    <w:rsid w:val="00905F50"/>
    <w:rsid w:val="0090766A"/>
    <w:rsid w:val="00913750"/>
    <w:rsid w:val="00913815"/>
    <w:rsid w:val="00913F09"/>
    <w:rsid w:val="00917496"/>
    <w:rsid w:val="0092151E"/>
    <w:rsid w:val="0092600D"/>
    <w:rsid w:val="00926FB8"/>
    <w:rsid w:val="00932AD3"/>
    <w:rsid w:val="0093523E"/>
    <w:rsid w:val="00935C40"/>
    <w:rsid w:val="0093630E"/>
    <w:rsid w:val="00936E99"/>
    <w:rsid w:val="00937898"/>
    <w:rsid w:val="0094212E"/>
    <w:rsid w:val="0094458A"/>
    <w:rsid w:val="0094466C"/>
    <w:rsid w:val="00945846"/>
    <w:rsid w:val="00947EC9"/>
    <w:rsid w:val="00951A8D"/>
    <w:rsid w:val="009533CE"/>
    <w:rsid w:val="00955B43"/>
    <w:rsid w:val="0095612C"/>
    <w:rsid w:val="00957036"/>
    <w:rsid w:val="00962A82"/>
    <w:rsid w:val="009662F0"/>
    <w:rsid w:val="00967BE2"/>
    <w:rsid w:val="009739A9"/>
    <w:rsid w:val="00974B43"/>
    <w:rsid w:val="009761E9"/>
    <w:rsid w:val="00977FB6"/>
    <w:rsid w:val="009809F0"/>
    <w:rsid w:val="009820A2"/>
    <w:rsid w:val="009829B0"/>
    <w:rsid w:val="00984AB0"/>
    <w:rsid w:val="0098544D"/>
    <w:rsid w:val="00987484"/>
    <w:rsid w:val="009901C6"/>
    <w:rsid w:val="009908ED"/>
    <w:rsid w:val="00994D53"/>
    <w:rsid w:val="0099688A"/>
    <w:rsid w:val="009A02C9"/>
    <w:rsid w:val="009A0D32"/>
    <w:rsid w:val="009A3371"/>
    <w:rsid w:val="009A3D6A"/>
    <w:rsid w:val="009A3F39"/>
    <w:rsid w:val="009A418D"/>
    <w:rsid w:val="009A4641"/>
    <w:rsid w:val="009A5F5B"/>
    <w:rsid w:val="009A70B1"/>
    <w:rsid w:val="009A7596"/>
    <w:rsid w:val="009B0E51"/>
    <w:rsid w:val="009B477B"/>
    <w:rsid w:val="009B50B5"/>
    <w:rsid w:val="009C0EA3"/>
    <w:rsid w:val="009C69C7"/>
    <w:rsid w:val="009D061F"/>
    <w:rsid w:val="009D187B"/>
    <w:rsid w:val="009D1E28"/>
    <w:rsid w:val="009D2385"/>
    <w:rsid w:val="009D24A0"/>
    <w:rsid w:val="009D49FE"/>
    <w:rsid w:val="009D52B6"/>
    <w:rsid w:val="009D5C8E"/>
    <w:rsid w:val="009E0499"/>
    <w:rsid w:val="009E105F"/>
    <w:rsid w:val="009E2558"/>
    <w:rsid w:val="009E3B6B"/>
    <w:rsid w:val="009E44DC"/>
    <w:rsid w:val="009E7D35"/>
    <w:rsid w:val="009F2269"/>
    <w:rsid w:val="009F2706"/>
    <w:rsid w:val="009F3382"/>
    <w:rsid w:val="009F598A"/>
    <w:rsid w:val="009F5AC3"/>
    <w:rsid w:val="009F60C9"/>
    <w:rsid w:val="00A002FE"/>
    <w:rsid w:val="00A02228"/>
    <w:rsid w:val="00A03C90"/>
    <w:rsid w:val="00A03EDD"/>
    <w:rsid w:val="00A05682"/>
    <w:rsid w:val="00A05BA7"/>
    <w:rsid w:val="00A06370"/>
    <w:rsid w:val="00A06870"/>
    <w:rsid w:val="00A06EFE"/>
    <w:rsid w:val="00A071FC"/>
    <w:rsid w:val="00A07548"/>
    <w:rsid w:val="00A11FFD"/>
    <w:rsid w:val="00A12C8D"/>
    <w:rsid w:val="00A148A6"/>
    <w:rsid w:val="00A2223B"/>
    <w:rsid w:val="00A252F0"/>
    <w:rsid w:val="00A264A9"/>
    <w:rsid w:val="00A26C90"/>
    <w:rsid w:val="00A317D9"/>
    <w:rsid w:val="00A3561D"/>
    <w:rsid w:val="00A35793"/>
    <w:rsid w:val="00A35BC5"/>
    <w:rsid w:val="00A36777"/>
    <w:rsid w:val="00A41A92"/>
    <w:rsid w:val="00A43224"/>
    <w:rsid w:val="00A440E2"/>
    <w:rsid w:val="00A45815"/>
    <w:rsid w:val="00A45D6E"/>
    <w:rsid w:val="00A5132F"/>
    <w:rsid w:val="00A5241A"/>
    <w:rsid w:val="00A53C66"/>
    <w:rsid w:val="00A54763"/>
    <w:rsid w:val="00A55CB3"/>
    <w:rsid w:val="00A57696"/>
    <w:rsid w:val="00A60795"/>
    <w:rsid w:val="00A60AF2"/>
    <w:rsid w:val="00A62455"/>
    <w:rsid w:val="00A63263"/>
    <w:rsid w:val="00A643F2"/>
    <w:rsid w:val="00A64F8F"/>
    <w:rsid w:val="00A711EB"/>
    <w:rsid w:val="00A8009D"/>
    <w:rsid w:val="00A80AAB"/>
    <w:rsid w:val="00A81A7A"/>
    <w:rsid w:val="00A90C1C"/>
    <w:rsid w:val="00A90DDC"/>
    <w:rsid w:val="00A90E13"/>
    <w:rsid w:val="00A92667"/>
    <w:rsid w:val="00A92A1A"/>
    <w:rsid w:val="00A936E7"/>
    <w:rsid w:val="00A9562A"/>
    <w:rsid w:val="00A959A5"/>
    <w:rsid w:val="00A97408"/>
    <w:rsid w:val="00A97998"/>
    <w:rsid w:val="00A979D9"/>
    <w:rsid w:val="00AA0995"/>
    <w:rsid w:val="00AA0FDA"/>
    <w:rsid w:val="00AA1865"/>
    <w:rsid w:val="00AA2CF3"/>
    <w:rsid w:val="00AA3118"/>
    <w:rsid w:val="00AA6B88"/>
    <w:rsid w:val="00AA772B"/>
    <w:rsid w:val="00AB0817"/>
    <w:rsid w:val="00AB0F96"/>
    <w:rsid w:val="00AB1AAB"/>
    <w:rsid w:val="00AB1AB2"/>
    <w:rsid w:val="00AB2E38"/>
    <w:rsid w:val="00AB472B"/>
    <w:rsid w:val="00AC04F7"/>
    <w:rsid w:val="00AC0B2F"/>
    <w:rsid w:val="00AC1550"/>
    <w:rsid w:val="00AC3AB3"/>
    <w:rsid w:val="00AC3F91"/>
    <w:rsid w:val="00AC6628"/>
    <w:rsid w:val="00AC66EF"/>
    <w:rsid w:val="00AC6BDD"/>
    <w:rsid w:val="00AC7CD8"/>
    <w:rsid w:val="00AD4123"/>
    <w:rsid w:val="00AE14EE"/>
    <w:rsid w:val="00AE15EA"/>
    <w:rsid w:val="00AE1773"/>
    <w:rsid w:val="00AE20C6"/>
    <w:rsid w:val="00AE2ECF"/>
    <w:rsid w:val="00AE4505"/>
    <w:rsid w:val="00AE52B0"/>
    <w:rsid w:val="00AE5C1F"/>
    <w:rsid w:val="00AE5F0C"/>
    <w:rsid w:val="00AF06D9"/>
    <w:rsid w:val="00AF3DA6"/>
    <w:rsid w:val="00AF4C34"/>
    <w:rsid w:val="00AF61C0"/>
    <w:rsid w:val="00AF65F0"/>
    <w:rsid w:val="00B0026F"/>
    <w:rsid w:val="00B012DE"/>
    <w:rsid w:val="00B05458"/>
    <w:rsid w:val="00B07152"/>
    <w:rsid w:val="00B1214A"/>
    <w:rsid w:val="00B1328E"/>
    <w:rsid w:val="00B13707"/>
    <w:rsid w:val="00B13CD0"/>
    <w:rsid w:val="00B208E4"/>
    <w:rsid w:val="00B2233E"/>
    <w:rsid w:val="00B24A31"/>
    <w:rsid w:val="00B25107"/>
    <w:rsid w:val="00B31F81"/>
    <w:rsid w:val="00B32A76"/>
    <w:rsid w:val="00B32C88"/>
    <w:rsid w:val="00B331B2"/>
    <w:rsid w:val="00B33284"/>
    <w:rsid w:val="00B37FB0"/>
    <w:rsid w:val="00B4237D"/>
    <w:rsid w:val="00B424BA"/>
    <w:rsid w:val="00B42656"/>
    <w:rsid w:val="00B443B4"/>
    <w:rsid w:val="00B45888"/>
    <w:rsid w:val="00B45B15"/>
    <w:rsid w:val="00B51D96"/>
    <w:rsid w:val="00B529C4"/>
    <w:rsid w:val="00B5317F"/>
    <w:rsid w:val="00B53BAF"/>
    <w:rsid w:val="00B53BD7"/>
    <w:rsid w:val="00B55825"/>
    <w:rsid w:val="00B558D2"/>
    <w:rsid w:val="00B56096"/>
    <w:rsid w:val="00B6637D"/>
    <w:rsid w:val="00B666EF"/>
    <w:rsid w:val="00B671A0"/>
    <w:rsid w:val="00B672EC"/>
    <w:rsid w:val="00B703FD"/>
    <w:rsid w:val="00B7176B"/>
    <w:rsid w:val="00B728F9"/>
    <w:rsid w:val="00B73509"/>
    <w:rsid w:val="00B8141F"/>
    <w:rsid w:val="00B83D1A"/>
    <w:rsid w:val="00B84566"/>
    <w:rsid w:val="00B85D52"/>
    <w:rsid w:val="00B86890"/>
    <w:rsid w:val="00B86FE6"/>
    <w:rsid w:val="00B90E88"/>
    <w:rsid w:val="00B91501"/>
    <w:rsid w:val="00B919EE"/>
    <w:rsid w:val="00B92D7E"/>
    <w:rsid w:val="00BA33E7"/>
    <w:rsid w:val="00BA48C0"/>
    <w:rsid w:val="00BA4E83"/>
    <w:rsid w:val="00BB09D4"/>
    <w:rsid w:val="00BB21E1"/>
    <w:rsid w:val="00BC035C"/>
    <w:rsid w:val="00BC2979"/>
    <w:rsid w:val="00BC5201"/>
    <w:rsid w:val="00BC5D73"/>
    <w:rsid w:val="00BC6742"/>
    <w:rsid w:val="00BC7490"/>
    <w:rsid w:val="00BC74D7"/>
    <w:rsid w:val="00BC78CE"/>
    <w:rsid w:val="00BD0EA1"/>
    <w:rsid w:val="00BD11D6"/>
    <w:rsid w:val="00BD3DB6"/>
    <w:rsid w:val="00BD5A2E"/>
    <w:rsid w:val="00BD751A"/>
    <w:rsid w:val="00BE20B2"/>
    <w:rsid w:val="00BE4FFC"/>
    <w:rsid w:val="00BF1387"/>
    <w:rsid w:val="00BF27F1"/>
    <w:rsid w:val="00BF3297"/>
    <w:rsid w:val="00BF3B42"/>
    <w:rsid w:val="00BF402E"/>
    <w:rsid w:val="00BF4915"/>
    <w:rsid w:val="00BF4B96"/>
    <w:rsid w:val="00C01AD0"/>
    <w:rsid w:val="00C030CD"/>
    <w:rsid w:val="00C045E5"/>
    <w:rsid w:val="00C0504F"/>
    <w:rsid w:val="00C0765F"/>
    <w:rsid w:val="00C07C56"/>
    <w:rsid w:val="00C137F2"/>
    <w:rsid w:val="00C1421A"/>
    <w:rsid w:val="00C15351"/>
    <w:rsid w:val="00C1584D"/>
    <w:rsid w:val="00C162F0"/>
    <w:rsid w:val="00C16CC2"/>
    <w:rsid w:val="00C21580"/>
    <w:rsid w:val="00C23D41"/>
    <w:rsid w:val="00C243BC"/>
    <w:rsid w:val="00C24668"/>
    <w:rsid w:val="00C25308"/>
    <w:rsid w:val="00C255A7"/>
    <w:rsid w:val="00C258AC"/>
    <w:rsid w:val="00C27942"/>
    <w:rsid w:val="00C337B7"/>
    <w:rsid w:val="00C352E4"/>
    <w:rsid w:val="00C37976"/>
    <w:rsid w:val="00C45B01"/>
    <w:rsid w:val="00C45D94"/>
    <w:rsid w:val="00C4698B"/>
    <w:rsid w:val="00C55371"/>
    <w:rsid w:val="00C553EC"/>
    <w:rsid w:val="00C555A4"/>
    <w:rsid w:val="00C55AB7"/>
    <w:rsid w:val="00C55ACC"/>
    <w:rsid w:val="00C6143B"/>
    <w:rsid w:val="00C637D6"/>
    <w:rsid w:val="00C64598"/>
    <w:rsid w:val="00C6657F"/>
    <w:rsid w:val="00C67013"/>
    <w:rsid w:val="00C720A2"/>
    <w:rsid w:val="00C7230E"/>
    <w:rsid w:val="00C72A5F"/>
    <w:rsid w:val="00C74859"/>
    <w:rsid w:val="00C816F8"/>
    <w:rsid w:val="00C8474B"/>
    <w:rsid w:val="00C870B6"/>
    <w:rsid w:val="00C90170"/>
    <w:rsid w:val="00C90EDD"/>
    <w:rsid w:val="00C92ED5"/>
    <w:rsid w:val="00CA05BC"/>
    <w:rsid w:val="00CA0D71"/>
    <w:rsid w:val="00CA0E37"/>
    <w:rsid w:val="00CA262C"/>
    <w:rsid w:val="00CA2A97"/>
    <w:rsid w:val="00CA3960"/>
    <w:rsid w:val="00CB0677"/>
    <w:rsid w:val="00CB1696"/>
    <w:rsid w:val="00CC3889"/>
    <w:rsid w:val="00CC3D49"/>
    <w:rsid w:val="00CC5DA5"/>
    <w:rsid w:val="00CD0B61"/>
    <w:rsid w:val="00CD214D"/>
    <w:rsid w:val="00CD4977"/>
    <w:rsid w:val="00CD4D29"/>
    <w:rsid w:val="00CD5427"/>
    <w:rsid w:val="00CE143E"/>
    <w:rsid w:val="00CE48BF"/>
    <w:rsid w:val="00CF1AAC"/>
    <w:rsid w:val="00CF31B8"/>
    <w:rsid w:val="00CF3D52"/>
    <w:rsid w:val="00CF4653"/>
    <w:rsid w:val="00CF492A"/>
    <w:rsid w:val="00CF4DE8"/>
    <w:rsid w:val="00CF6792"/>
    <w:rsid w:val="00CF6EAD"/>
    <w:rsid w:val="00D06931"/>
    <w:rsid w:val="00D12CAF"/>
    <w:rsid w:val="00D13280"/>
    <w:rsid w:val="00D13923"/>
    <w:rsid w:val="00D1698A"/>
    <w:rsid w:val="00D16A49"/>
    <w:rsid w:val="00D2261A"/>
    <w:rsid w:val="00D260FE"/>
    <w:rsid w:val="00D43D4D"/>
    <w:rsid w:val="00D57E7B"/>
    <w:rsid w:val="00D616C1"/>
    <w:rsid w:val="00D64DC5"/>
    <w:rsid w:val="00D65F9B"/>
    <w:rsid w:val="00D6662E"/>
    <w:rsid w:val="00D679E2"/>
    <w:rsid w:val="00D73247"/>
    <w:rsid w:val="00D8223A"/>
    <w:rsid w:val="00D8458A"/>
    <w:rsid w:val="00D85E87"/>
    <w:rsid w:val="00D85E94"/>
    <w:rsid w:val="00D872E5"/>
    <w:rsid w:val="00D873D6"/>
    <w:rsid w:val="00D87A4B"/>
    <w:rsid w:val="00D87A82"/>
    <w:rsid w:val="00D94293"/>
    <w:rsid w:val="00D9463C"/>
    <w:rsid w:val="00D94BC3"/>
    <w:rsid w:val="00D9515A"/>
    <w:rsid w:val="00D97AD1"/>
    <w:rsid w:val="00DA1C99"/>
    <w:rsid w:val="00DA30D4"/>
    <w:rsid w:val="00DA34C5"/>
    <w:rsid w:val="00DA3B07"/>
    <w:rsid w:val="00DA44A4"/>
    <w:rsid w:val="00DA4AE5"/>
    <w:rsid w:val="00DA5924"/>
    <w:rsid w:val="00DA7E40"/>
    <w:rsid w:val="00DB1959"/>
    <w:rsid w:val="00DB32FF"/>
    <w:rsid w:val="00DB3474"/>
    <w:rsid w:val="00DB491A"/>
    <w:rsid w:val="00DB682A"/>
    <w:rsid w:val="00DB6FD4"/>
    <w:rsid w:val="00DC1E27"/>
    <w:rsid w:val="00DC5888"/>
    <w:rsid w:val="00DD1519"/>
    <w:rsid w:val="00DD1FB1"/>
    <w:rsid w:val="00DD4A57"/>
    <w:rsid w:val="00DD4D01"/>
    <w:rsid w:val="00DD66F0"/>
    <w:rsid w:val="00DD7985"/>
    <w:rsid w:val="00DE45AA"/>
    <w:rsid w:val="00DE4901"/>
    <w:rsid w:val="00DE5B26"/>
    <w:rsid w:val="00DE766C"/>
    <w:rsid w:val="00DE78D0"/>
    <w:rsid w:val="00DE790F"/>
    <w:rsid w:val="00DF03C2"/>
    <w:rsid w:val="00DF12BE"/>
    <w:rsid w:val="00DF2A97"/>
    <w:rsid w:val="00E03E6D"/>
    <w:rsid w:val="00E0438B"/>
    <w:rsid w:val="00E07B01"/>
    <w:rsid w:val="00E12E28"/>
    <w:rsid w:val="00E15D14"/>
    <w:rsid w:val="00E20F2B"/>
    <w:rsid w:val="00E227FF"/>
    <w:rsid w:val="00E22C56"/>
    <w:rsid w:val="00E25042"/>
    <w:rsid w:val="00E26969"/>
    <w:rsid w:val="00E269BA"/>
    <w:rsid w:val="00E3578B"/>
    <w:rsid w:val="00E40D53"/>
    <w:rsid w:val="00E40E5F"/>
    <w:rsid w:val="00E41D23"/>
    <w:rsid w:val="00E4390F"/>
    <w:rsid w:val="00E455E0"/>
    <w:rsid w:val="00E53369"/>
    <w:rsid w:val="00E575B1"/>
    <w:rsid w:val="00E578C5"/>
    <w:rsid w:val="00E60CAD"/>
    <w:rsid w:val="00E618AE"/>
    <w:rsid w:val="00E67265"/>
    <w:rsid w:val="00E70592"/>
    <w:rsid w:val="00E716E0"/>
    <w:rsid w:val="00E71BED"/>
    <w:rsid w:val="00E74899"/>
    <w:rsid w:val="00E753DF"/>
    <w:rsid w:val="00E77325"/>
    <w:rsid w:val="00E81B33"/>
    <w:rsid w:val="00E81D71"/>
    <w:rsid w:val="00E839EF"/>
    <w:rsid w:val="00E85C37"/>
    <w:rsid w:val="00E86E2A"/>
    <w:rsid w:val="00E902A9"/>
    <w:rsid w:val="00E92A1C"/>
    <w:rsid w:val="00E92C60"/>
    <w:rsid w:val="00E93A11"/>
    <w:rsid w:val="00E940DA"/>
    <w:rsid w:val="00E94513"/>
    <w:rsid w:val="00EA3BA2"/>
    <w:rsid w:val="00EA48B8"/>
    <w:rsid w:val="00EA6EC8"/>
    <w:rsid w:val="00EB01B6"/>
    <w:rsid w:val="00EB1F35"/>
    <w:rsid w:val="00EB2B87"/>
    <w:rsid w:val="00EB39C5"/>
    <w:rsid w:val="00EB47D5"/>
    <w:rsid w:val="00EB6C44"/>
    <w:rsid w:val="00EC07CF"/>
    <w:rsid w:val="00EC0FB5"/>
    <w:rsid w:val="00EC29FA"/>
    <w:rsid w:val="00EC2CB4"/>
    <w:rsid w:val="00EC2FAA"/>
    <w:rsid w:val="00EC36BA"/>
    <w:rsid w:val="00EC3ACA"/>
    <w:rsid w:val="00EC6E7D"/>
    <w:rsid w:val="00ED080B"/>
    <w:rsid w:val="00ED0E03"/>
    <w:rsid w:val="00ED12E8"/>
    <w:rsid w:val="00ED3B82"/>
    <w:rsid w:val="00ED3E72"/>
    <w:rsid w:val="00ED4B6D"/>
    <w:rsid w:val="00ED6893"/>
    <w:rsid w:val="00EE564B"/>
    <w:rsid w:val="00EE79D6"/>
    <w:rsid w:val="00EF0D03"/>
    <w:rsid w:val="00EF0E84"/>
    <w:rsid w:val="00EF18D1"/>
    <w:rsid w:val="00EF35FB"/>
    <w:rsid w:val="00EF5154"/>
    <w:rsid w:val="00EF5351"/>
    <w:rsid w:val="00EF7338"/>
    <w:rsid w:val="00F041C4"/>
    <w:rsid w:val="00F04FF1"/>
    <w:rsid w:val="00F06646"/>
    <w:rsid w:val="00F0691A"/>
    <w:rsid w:val="00F07FF9"/>
    <w:rsid w:val="00F1082E"/>
    <w:rsid w:val="00F22EB4"/>
    <w:rsid w:val="00F238DF"/>
    <w:rsid w:val="00F24726"/>
    <w:rsid w:val="00F25204"/>
    <w:rsid w:val="00F25935"/>
    <w:rsid w:val="00F306C7"/>
    <w:rsid w:val="00F32F05"/>
    <w:rsid w:val="00F33DDF"/>
    <w:rsid w:val="00F374A1"/>
    <w:rsid w:val="00F40389"/>
    <w:rsid w:val="00F41B8B"/>
    <w:rsid w:val="00F424B8"/>
    <w:rsid w:val="00F43200"/>
    <w:rsid w:val="00F436AA"/>
    <w:rsid w:val="00F43FF6"/>
    <w:rsid w:val="00F51AD2"/>
    <w:rsid w:val="00F53829"/>
    <w:rsid w:val="00F57097"/>
    <w:rsid w:val="00F61CAD"/>
    <w:rsid w:val="00F62AA7"/>
    <w:rsid w:val="00F643E6"/>
    <w:rsid w:val="00F66DD2"/>
    <w:rsid w:val="00F67C9D"/>
    <w:rsid w:val="00F70820"/>
    <w:rsid w:val="00F81A86"/>
    <w:rsid w:val="00F86DB5"/>
    <w:rsid w:val="00F86E3C"/>
    <w:rsid w:val="00F86E7B"/>
    <w:rsid w:val="00F9117A"/>
    <w:rsid w:val="00F92891"/>
    <w:rsid w:val="00F97162"/>
    <w:rsid w:val="00FA16EF"/>
    <w:rsid w:val="00FA4865"/>
    <w:rsid w:val="00FA4AA2"/>
    <w:rsid w:val="00FB0A47"/>
    <w:rsid w:val="00FB3025"/>
    <w:rsid w:val="00FB56AE"/>
    <w:rsid w:val="00FB5E5B"/>
    <w:rsid w:val="00FC26A7"/>
    <w:rsid w:val="00FC4DF5"/>
    <w:rsid w:val="00FC5AA6"/>
    <w:rsid w:val="00FC6823"/>
    <w:rsid w:val="00FC7BCC"/>
    <w:rsid w:val="00FC7FDF"/>
    <w:rsid w:val="00FD2929"/>
    <w:rsid w:val="00FD3118"/>
    <w:rsid w:val="00FD4590"/>
    <w:rsid w:val="00FD796D"/>
    <w:rsid w:val="00FE251C"/>
    <w:rsid w:val="00FE3329"/>
    <w:rsid w:val="00FE4A64"/>
    <w:rsid w:val="00FF00AD"/>
    <w:rsid w:val="00FF2317"/>
    <w:rsid w:val="00FF2E1D"/>
    <w:rsid w:val="00FF5553"/>
    <w:rsid w:val="00FF5906"/>
    <w:rsid w:val="01012DFA"/>
    <w:rsid w:val="018D0F17"/>
    <w:rsid w:val="028B18FB"/>
    <w:rsid w:val="02994018"/>
    <w:rsid w:val="03A34A22"/>
    <w:rsid w:val="06246BF4"/>
    <w:rsid w:val="07875D58"/>
    <w:rsid w:val="09F67759"/>
    <w:rsid w:val="0A39067E"/>
    <w:rsid w:val="0A9B26B1"/>
    <w:rsid w:val="0D4B4CD3"/>
    <w:rsid w:val="0E0252AE"/>
    <w:rsid w:val="0ED71A24"/>
    <w:rsid w:val="13A870C3"/>
    <w:rsid w:val="14F73A22"/>
    <w:rsid w:val="15212E8E"/>
    <w:rsid w:val="168F779C"/>
    <w:rsid w:val="16914AB9"/>
    <w:rsid w:val="188744BB"/>
    <w:rsid w:val="194B54E8"/>
    <w:rsid w:val="1B4D72F6"/>
    <w:rsid w:val="1CB41B29"/>
    <w:rsid w:val="1D33076D"/>
    <w:rsid w:val="1D3A6989"/>
    <w:rsid w:val="1EDA5AE4"/>
    <w:rsid w:val="231A178A"/>
    <w:rsid w:val="23462716"/>
    <w:rsid w:val="24702076"/>
    <w:rsid w:val="24B42AD8"/>
    <w:rsid w:val="251D54C7"/>
    <w:rsid w:val="296D29C2"/>
    <w:rsid w:val="2A1E144D"/>
    <w:rsid w:val="2B841A49"/>
    <w:rsid w:val="2BD27A22"/>
    <w:rsid w:val="2EF74901"/>
    <w:rsid w:val="2F78415A"/>
    <w:rsid w:val="321D3A6E"/>
    <w:rsid w:val="344A6670"/>
    <w:rsid w:val="34AF7768"/>
    <w:rsid w:val="35187B66"/>
    <w:rsid w:val="367A2181"/>
    <w:rsid w:val="38B2278E"/>
    <w:rsid w:val="3A991BBE"/>
    <w:rsid w:val="3C74072E"/>
    <w:rsid w:val="3D1617E6"/>
    <w:rsid w:val="3E4B1963"/>
    <w:rsid w:val="3FB138EF"/>
    <w:rsid w:val="400A4625"/>
    <w:rsid w:val="415D047D"/>
    <w:rsid w:val="436074C4"/>
    <w:rsid w:val="438F79B8"/>
    <w:rsid w:val="45682593"/>
    <w:rsid w:val="45BF4859"/>
    <w:rsid w:val="479C4E08"/>
    <w:rsid w:val="48FC60D7"/>
    <w:rsid w:val="4A1D6A8A"/>
    <w:rsid w:val="4D5824E1"/>
    <w:rsid w:val="51616E44"/>
    <w:rsid w:val="52466271"/>
    <w:rsid w:val="532F272D"/>
    <w:rsid w:val="54B25E40"/>
    <w:rsid w:val="54EF0E42"/>
    <w:rsid w:val="554607D7"/>
    <w:rsid w:val="5A786FC1"/>
    <w:rsid w:val="5BC01D46"/>
    <w:rsid w:val="5D844538"/>
    <w:rsid w:val="5DF43025"/>
    <w:rsid w:val="639826A5"/>
    <w:rsid w:val="66297900"/>
    <w:rsid w:val="663E7534"/>
    <w:rsid w:val="66652D12"/>
    <w:rsid w:val="66EA3218"/>
    <w:rsid w:val="68E25001"/>
    <w:rsid w:val="6C037382"/>
    <w:rsid w:val="6E912A5B"/>
    <w:rsid w:val="6ECC76A7"/>
    <w:rsid w:val="6FE54EC4"/>
    <w:rsid w:val="6FF51B3B"/>
    <w:rsid w:val="71C16BA1"/>
    <w:rsid w:val="752D3F1E"/>
    <w:rsid w:val="767720ED"/>
    <w:rsid w:val="76962A74"/>
    <w:rsid w:val="77C26E75"/>
    <w:rsid w:val="78454752"/>
    <w:rsid w:val="78E71CAD"/>
    <w:rsid w:val="796706F8"/>
    <w:rsid w:val="7CE456E0"/>
    <w:rsid w:val="7D0C5A4B"/>
    <w:rsid w:val="7EC5039A"/>
    <w:rsid w:val="7EE57FE3"/>
    <w:rsid w:val="7F2F1CB8"/>
    <w:rsid w:val="7F4A08A0"/>
    <w:rsid w:val="7FB144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39"/>
    <w:qFormat/>
    <w:uiPriority w:val="0"/>
    <w:pPr>
      <w:keepNext/>
      <w:keepLines/>
      <w:spacing w:before="260" w:after="260" w:line="416" w:lineRule="auto"/>
      <w:outlineLvl w:val="2"/>
    </w:pPr>
    <w:rPr>
      <w:b/>
      <w:bCs/>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customStyle="1" w:styleId="2">
    <w:name w:val="Char"/>
    <w:basedOn w:val="1"/>
    <w:autoRedefine/>
    <w:qFormat/>
    <w:uiPriority w:val="0"/>
    <w:pPr>
      <w:tabs>
        <w:tab w:val="left" w:pos="360"/>
      </w:tabs>
    </w:pPr>
    <w:rPr>
      <w:sz w:val="24"/>
      <w:szCs w:val="24"/>
    </w:rPr>
  </w:style>
  <w:style w:type="paragraph" w:styleId="4">
    <w:name w:val="List Number 2"/>
    <w:basedOn w:val="1"/>
    <w:autoRedefine/>
    <w:unhideWhenUsed/>
    <w:qFormat/>
    <w:uiPriority w:val="1"/>
    <w:pPr>
      <w:widowControl/>
      <w:numPr>
        <w:ilvl w:val="1"/>
        <w:numId w:val="1"/>
      </w:numPr>
      <w:tabs>
        <w:tab w:val="left" w:pos="360"/>
        <w:tab w:val="clear" w:pos="432"/>
      </w:tabs>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List Number"/>
    <w:basedOn w:val="1"/>
    <w:autoRedefine/>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6">
    <w:name w:val="annotation text"/>
    <w:basedOn w:val="1"/>
    <w:link w:val="52"/>
    <w:autoRedefine/>
    <w:semiHidden/>
    <w:unhideWhenUsed/>
    <w:qFormat/>
    <w:uiPriority w:val="99"/>
    <w:pPr>
      <w:jc w:val="left"/>
    </w:pPr>
  </w:style>
  <w:style w:type="paragraph" w:styleId="7">
    <w:name w:val="Body Text"/>
    <w:basedOn w:val="1"/>
    <w:link w:val="51"/>
    <w:autoRedefine/>
    <w:semiHidden/>
    <w:unhideWhenUsed/>
    <w:qFormat/>
    <w:uiPriority w:val="99"/>
    <w:pPr>
      <w:spacing w:after="120"/>
    </w:pPr>
  </w:style>
  <w:style w:type="paragraph" w:styleId="8">
    <w:name w:val="Body Text Indent"/>
    <w:basedOn w:val="1"/>
    <w:link w:val="31"/>
    <w:autoRedefine/>
    <w:qFormat/>
    <w:uiPriority w:val="0"/>
    <w:pPr>
      <w:tabs>
        <w:tab w:val="left" w:pos="480"/>
      </w:tabs>
      <w:spacing w:line="560" w:lineRule="exact"/>
      <w:ind w:firstLine="480"/>
      <w:jc w:val="left"/>
    </w:pPr>
    <w:rPr>
      <w:rFonts w:ascii="宋体" w:hAnsi="宋体"/>
      <w:sz w:val="24"/>
    </w:rPr>
  </w:style>
  <w:style w:type="paragraph" w:styleId="9">
    <w:name w:val="List Number 3"/>
    <w:basedOn w:val="1"/>
    <w:autoRedefine/>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0">
    <w:name w:val="Plain Text"/>
    <w:basedOn w:val="1"/>
    <w:link w:val="42"/>
    <w:autoRedefine/>
    <w:qFormat/>
    <w:uiPriority w:val="0"/>
    <w:rPr>
      <w:rFonts w:ascii="宋体" w:hAnsi="Courier New"/>
    </w:rPr>
  </w:style>
  <w:style w:type="paragraph" w:styleId="11">
    <w:name w:val="List Number 4"/>
    <w:basedOn w:val="1"/>
    <w:autoRedefine/>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2">
    <w:name w:val="Date"/>
    <w:basedOn w:val="1"/>
    <w:next w:val="1"/>
    <w:link w:val="36"/>
    <w:autoRedefine/>
    <w:qFormat/>
    <w:uiPriority w:val="0"/>
    <w:pPr>
      <w:adjustRightInd w:val="0"/>
      <w:spacing w:line="360" w:lineRule="atLeast"/>
      <w:textAlignment w:val="baseline"/>
    </w:pPr>
    <w:rPr>
      <w:sz w:val="32"/>
    </w:rPr>
  </w:style>
  <w:style w:type="paragraph" w:styleId="13">
    <w:name w:val="Body Text Indent 2"/>
    <w:basedOn w:val="1"/>
    <w:link w:val="38"/>
    <w:autoRedefine/>
    <w:semiHidden/>
    <w:unhideWhenUsed/>
    <w:qFormat/>
    <w:uiPriority w:val="99"/>
    <w:pPr>
      <w:spacing w:after="120" w:line="480" w:lineRule="auto"/>
      <w:ind w:left="420" w:leftChars="200"/>
    </w:pPr>
  </w:style>
  <w:style w:type="paragraph" w:styleId="14">
    <w:name w:val="footer"/>
    <w:basedOn w:val="1"/>
    <w:link w:val="35"/>
    <w:autoRedefine/>
    <w:unhideWhenUsed/>
    <w:qFormat/>
    <w:uiPriority w:val="99"/>
    <w:pPr>
      <w:tabs>
        <w:tab w:val="center" w:pos="4153"/>
        <w:tab w:val="right" w:pos="8306"/>
      </w:tabs>
      <w:snapToGrid w:val="0"/>
      <w:jc w:val="left"/>
    </w:pPr>
    <w:rPr>
      <w:sz w:val="18"/>
      <w:szCs w:val="18"/>
    </w:rPr>
  </w:style>
  <w:style w:type="paragraph" w:styleId="15">
    <w:name w:val="header"/>
    <w:basedOn w:val="1"/>
    <w:link w:val="3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3"/>
    <w:autoRedefine/>
    <w:qFormat/>
    <w:uiPriority w:val="0"/>
    <w:pPr>
      <w:spacing w:before="240" w:after="60" w:line="312" w:lineRule="auto"/>
      <w:jc w:val="center"/>
      <w:outlineLvl w:val="1"/>
    </w:pPr>
    <w:rPr>
      <w:rFonts w:ascii="Cambria" w:hAnsi="Cambria"/>
      <w:b/>
      <w:bCs/>
      <w:kern w:val="28"/>
      <w:sz w:val="32"/>
      <w:szCs w:val="32"/>
    </w:rPr>
  </w:style>
  <w:style w:type="paragraph" w:styleId="17">
    <w:name w:val="List Number 5"/>
    <w:basedOn w:val="1"/>
    <w:autoRedefine/>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3"/>
    <w:autoRedefine/>
    <w:semiHidden/>
    <w:unhideWhenUsed/>
    <w:qFormat/>
    <w:uiPriority w:val="99"/>
    <w:pPr>
      <w:spacing w:after="120"/>
      <w:ind w:left="420" w:leftChars="200"/>
    </w:pPr>
    <w:rPr>
      <w:sz w:val="16"/>
      <w:szCs w:val="16"/>
    </w:rPr>
  </w:style>
  <w:style w:type="paragraph" w:styleId="19">
    <w:name w:val="Body Text 2"/>
    <w:basedOn w:val="1"/>
    <w:link w:val="40"/>
    <w:autoRedefine/>
    <w:semiHidden/>
    <w:unhideWhenUsed/>
    <w:qFormat/>
    <w:uiPriority w:val="99"/>
    <w:pPr>
      <w:spacing w:after="120" w:line="480" w:lineRule="auto"/>
    </w:pPr>
  </w:style>
  <w:style w:type="table" w:styleId="21">
    <w:name w:val="Table Grid"/>
    <w:basedOn w:val="2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FollowedHyperlink"/>
    <w:basedOn w:val="22"/>
    <w:autoRedefine/>
    <w:semiHidden/>
    <w:unhideWhenUsed/>
    <w:qFormat/>
    <w:uiPriority w:val="99"/>
    <w:rPr>
      <w:color w:val="800080" w:themeColor="followedHyperlink"/>
      <w:u w:val="single"/>
      <w14:textFill>
        <w14:solidFill>
          <w14:schemeClr w14:val="folHlink"/>
        </w14:solidFill>
      </w14:textFill>
    </w:rPr>
  </w:style>
  <w:style w:type="character" w:styleId="25">
    <w:name w:val="HTML Definition"/>
    <w:basedOn w:val="22"/>
    <w:semiHidden/>
    <w:unhideWhenUsed/>
    <w:qFormat/>
    <w:uiPriority w:val="99"/>
    <w:rPr>
      <w:i/>
      <w:iCs/>
    </w:rPr>
  </w:style>
  <w:style w:type="character" w:styleId="26">
    <w:name w:val="Hyperlink"/>
    <w:basedOn w:val="22"/>
    <w:autoRedefine/>
    <w:unhideWhenUsed/>
    <w:qFormat/>
    <w:uiPriority w:val="99"/>
    <w:rPr>
      <w:color w:val="0000FF" w:themeColor="hyperlink"/>
      <w:u w:val="single"/>
      <w14:textFill>
        <w14:solidFill>
          <w14:schemeClr w14:val="hlink"/>
        </w14:solidFill>
      </w14:textFill>
    </w:rPr>
  </w:style>
  <w:style w:type="character" w:styleId="27">
    <w:name w:val="HTML Code"/>
    <w:basedOn w:val="22"/>
    <w:semiHidden/>
    <w:unhideWhenUsed/>
    <w:qFormat/>
    <w:uiPriority w:val="99"/>
    <w:rPr>
      <w:rFonts w:hint="default" w:ascii="Consolas" w:hAnsi="Consolas" w:eastAsia="Consolas" w:cs="Consolas"/>
      <w:color w:val="C7254E"/>
      <w:sz w:val="21"/>
      <w:szCs w:val="21"/>
      <w:shd w:val="clear" w:fill="F9F2F4"/>
    </w:rPr>
  </w:style>
  <w:style w:type="character" w:styleId="28">
    <w:name w:val="HTML Cite"/>
    <w:basedOn w:val="22"/>
    <w:semiHidden/>
    <w:unhideWhenUsed/>
    <w:qFormat/>
    <w:uiPriority w:val="99"/>
  </w:style>
  <w:style w:type="character" w:styleId="29">
    <w:name w:val="HTML Keyboard"/>
    <w:basedOn w:val="22"/>
    <w:semiHidden/>
    <w:unhideWhenUsed/>
    <w:qFormat/>
    <w:uiPriority w:val="99"/>
    <w:rPr>
      <w:rFonts w:hint="default" w:ascii="Consolas" w:hAnsi="Consolas" w:eastAsia="Consolas" w:cs="Consolas"/>
      <w:sz w:val="21"/>
      <w:szCs w:val="21"/>
    </w:rPr>
  </w:style>
  <w:style w:type="character" w:styleId="30">
    <w:name w:val="HTML Sample"/>
    <w:basedOn w:val="22"/>
    <w:semiHidden/>
    <w:unhideWhenUsed/>
    <w:qFormat/>
    <w:uiPriority w:val="99"/>
    <w:rPr>
      <w:rFonts w:ascii="Consolas" w:hAnsi="Consolas" w:eastAsia="Consolas" w:cs="Consolas"/>
      <w:b/>
      <w:bCs/>
      <w:color w:val="FFFFFF"/>
      <w:sz w:val="21"/>
      <w:szCs w:val="21"/>
      <w:shd w:val="clear" w:fill="999999"/>
      <w:vertAlign w:val="baseline"/>
    </w:rPr>
  </w:style>
  <w:style w:type="character" w:customStyle="1" w:styleId="31">
    <w:name w:val="正文文本缩进 Char"/>
    <w:basedOn w:val="22"/>
    <w:link w:val="8"/>
    <w:autoRedefine/>
    <w:qFormat/>
    <w:uiPriority w:val="0"/>
    <w:rPr>
      <w:rFonts w:ascii="宋体" w:hAnsi="宋体" w:eastAsia="宋体" w:cs="Times New Roman"/>
      <w:sz w:val="24"/>
      <w:szCs w:val="20"/>
    </w:rPr>
  </w:style>
  <w:style w:type="paragraph" w:customStyle="1" w:styleId="32">
    <w:name w:val="Default"/>
    <w:link w:val="50"/>
    <w:autoRedefine/>
    <w:qFormat/>
    <w:uiPriority w:val="0"/>
    <w:pPr>
      <w:widowControl w:val="0"/>
      <w:autoSpaceDE w:val="0"/>
      <w:autoSpaceDN w:val="0"/>
      <w:adjustRightInd w:val="0"/>
    </w:pPr>
    <w:rPr>
      <w:rFonts w:ascii="......." w:hAnsi="Calibri" w:eastAsia="......." w:cs="......."/>
      <w:color w:val="000000"/>
      <w:sz w:val="24"/>
      <w:szCs w:val="24"/>
      <w:lang w:val="en-US" w:eastAsia="zh-CN" w:bidi="ar-SA"/>
    </w:rPr>
  </w:style>
  <w:style w:type="character" w:customStyle="1" w:styleId="33">
    <w:name w:val="副标题 Char"/>
    <w:basedOn w:val="22"/>
    <w:link w:val="16"/>
    <w:autoRedefine/>
    <w:qFormat/>
    <w:uiPriority w:val="0"/>
    <w:rPr>
      <w:rFonts w:ascii="Cambria" w:hAnsi="Cambria" w:eastAsia="宋体" w:cs="Times New Roman"/>
      <w:b/>
      <w:bCs/>
      <w:kern w:val="28"/>
      <w:sz w:val="32"/>
      <w:szCs w:val="32"/>
    </w:rPr>
  </w:style>
  <w:style w:type="character" w:customStyle="1" w:styleId="34">
    <w:name w:val="页眉 Char"/>
    <w:basedOn w:val="22"/>
    <w:link w:val="15"/>
    <w:autoRedefine/>
    <w:qFormat/>
    <w:uiPriority w:val="99"/>
    <w:rPr>
      <w:rFonts w:ascii="Times New Roman" w:hAnsi="Times New Roman" w:eastAsia="宋体" w:cs="Times New Roman"/>
      <w:sz w:val="18"/>
      <w:szCs w:val="18"/>
    </w:rPr>
  </w:style>
  <w:style w:type="character" w:customStyle="1" w:styleId="35">
    <w:name w:val="页脚 Char"/>
    <w:basedOn w:val="22"/>
    <w:link w:val="14"/>
    <w:autoRedefine/>
    <w:qFormat/>
    <w:uiPriority w:val="99"/>
    <w:rPr>
      <w:rFonts w:ascii="Times New Roman" w:hAnsi="Times New Roman" w:eastAsia="宋体" w:cs="Times New Roman"/>
      <w:sz w:val="18"/>
      <w:szCs w:val="18"/>
    </w:rPr>
  </w:style>
  <w:style w:type="character" w:customStyle="1" w:styleId="36">
    <w:name w:val="日期 Char"/>
    <w:basedOn w:val="22"/>
    <w:link w:val="12"/>
    <w:autoRedefine/>
    <w:qFormat/>
    <w:uiPriority w:val="0"/>
    <w:rPr>
      <w:rFonts w:ascii="Times New Roman" w:hAnsi="Times New Roman" w:eastAsia="宋体" w:cs="Times New Roman"/>
      <w:sz w:val="32"/>
      <w:szCs w:val="20"/>
    </w:rPr>
  </w:style>
  <w:style w:type="paragraph" w:styleId="37">
    <w:name w:val="List Paragraph"/>
    <w:basedOn w:val="1"/>
    <w:link w:val="55"/>
    <w:autoRedefine/>
    <w:qFormat/>
    <w:uiPriority w:val="34"/>
    <w:pPr>
      <w:ind w:firstLine="420" w:firstLineChars="200"/>
    </w:pPr>
  </w:style>
  <w:style w:type="character" w:customStyle="1" w:styleId="38">
    <w:name w:val="正文文本缩进 2 Char"/>
    <w:basedOn w:val="22"/>
    <w:link w:val="13"/>
    <w:autoRedefine/>
    <w:semiHidden/>
    <w:qFormat/>
    <w:uiPriority w:val="99"/>
    <w:rPr>
      <w:rFonts w:ascii="Times New Roman" w:hAnsi="Times New Roman" w:eastAsia="宋体" w:cs="Times New Roman"/>
      <w:szCs w:val="20"/>
    </w:rPr>
  </w:style>
  <w:style w:type="character" w:customStyle="1" w:styleId="39">
    <w:name w:val="标题 3 Char"/>
    <w:basedOn w:val="22"/>
    <w:link w:val="3"/>
    <w:autoRedefine/>
    <w:qFormat/>
    <w:uiPriority w:val="0"/>
    <w:rPr>
      <w:rFonts w:ascii="Times New Roman" w:hAnsi="Times New Roman" w:eastAsia="宋体" w:cs="Times New Roman"/>
      <w:b/>
      <w:bCs/>
      <w:sz w:val="32"/>
      <w:szCs w:val="32"/>
    </w:rPr>
  </w:style>
  <w:style w:type="character" w:customStyle="1" w:styleId="40">
    <w:name w:val="正文文本 2 Char"/>
    <w:basedOn w:val="22"/>
    <w:link w:val="19"/>
    <w:autoRedefine/>
    <w:semiHidden/>
    <w:qFormat/>
    <w:uiPriority w:val="99"/>
    <w:rPr>
      <w:rFonts w:ascii="Times New Roman" w:hAnsi="Times New Roman" w:eastAsia="宋体" w:cs="Times New Roman"/>
      <w:szCs w:val="20"/>
    </w:rPr>
  </w:style>
  <w:style w:type="character" w:customStyle="1" w:styleId="41">
    <w:name w:val="纯文本 Char"/>
    <w:basedOn w:val="22"/>
    <w:autoRedefine/>
    <w:semiHidden/>
    <w:qFormat/>
    <w:uiPriority w:val="99"/>
    <w:rPr>
      <w:rFonts w:ascii="宋体" w:hAnsi="Courier New" w:eastAsia="宋体" w:cs="Courier New"/>
      <w:szCs w:val="21"/>
    </w:rPr>
  </w:style>
  <w:style w:type="character" w:customStyle="1" w:styleId="42">
    <w:name w:val="纯文本 Char1"/>
    <w:link w:val="10"/>
    <w:autoRedefine/>
    <w:qFormat/>
    <w:locked/>
    <w:uiPriority w:val="0"/>
    <w:rPr>
      <w:rFonts w:ascii="宋体" w:hAnsi="Courier New" w:eastAsia="宋体" w:cs="Times New Roman"/>
      <w:szCs w:val="20"/>
    </w:rPr>
  </w:style>
  <w:style w:type="character" w:customStyle="1" w:styleId="43">
    <w:name w:val="正文文本缩进 3 Char"/>
    <w:basedOn w:val="22"/>
    <w:link w:val="18"/>
    <w:autoRedefine/>
    <w:semiHidden/>
    <w:qFormat/>
    <w:uiPriority w:val="99"/>
    <w:rPr>
      <w:rFonts w:ascii="Times New Roman" w:hAnsi="Times New Roman" w:eastAsia="宋体" w:cs="Times New Roman"/>
      <w:sz w:val="16"/>
      <w:szCs w:val="16"/>
    </w:rPr>
  </w:style>
  <w:style w:type="paragraph" w:customStyle="1" w:styleId="44">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Char1"/>
    <w:basedOn w:val="1"/>
    <w:autoRedefine/>
    <w:qFormat/>
    <w:uiPriority w:val="0"/>
    <w:pPr>
      <w:tabs>
        <w:tab w:val="left" w:pos="360"/>
      </w:tabs>
    </w:pPr>
    <w:rPr>
      <w:sz w:val="24"/>
      <w:szCs w:val="24"/>
    </w:rPr>
  </w:style>
  <w:style w:type="paragraph" w:customStyle="1" w:styleId="49">
    <w:name w:val="列出段落1"/>
    <w:basedOn w:val="1"/>
    <w:autoRedefine/>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50">
    <w:name w:val="Default Char"/>
    <w:link w:val="32"/>
    <w:autoRedefine/>
    <w:qFormat/>
    <w:locked/>
    <w:uiPriority w:val="0"/>
    <w:rPr>
      <w:rFonts w:ascii="......." w:hAnsi="Calibri" w:eastAsia="......." w:cs="......."/>
      <w:color w:val="000000"/>
      <w:kern w:val="0"/>
      <w:sz w:val="24"/>
      <w:szCs w:val="24"/>
    </w:rPr>
  </w:style>
  <w:style w:type="character" w:customStyle="1" w:styleId="51">
    <w:name w:val="正文文本 Char"/>
    <w:basedOn w:val="22"/>
    <w:link w:val="7"/>
    <w:autoRedefine/>
    <w:semiHidden/>
    <w:qFormat/>
    <w:uiPriority w:val="99"/>
    <w:rPr>
      <w:rFonts w:ascii="Times New Roman" w:hAnsi="Times New Roman" w:eastAsia="宋体" w:cs="Times New Roman"/>
      <w:szCs w:val="20"/>
    </w:rPr>
  </w:style>
  <w:style w:type="character" w:customStyle="1" w:styleId="52">
    <w:name w:val="批注文字 Char"/>
    <w:basedOn w:val="22"/>
    <w:link w:val="6"/>
    <w:autoRedefine/>
    <w:semiHidden/>
    <w:qFormat/>
    <w:uiPriority w:val="99"/>
    <w:rPr>
      <w:rFonts w:ascii="Times New Roman" w:hAnsi="Times New Roman" w:eastAsia="宋体" w:cs="Times New Roman"/>
      <w:szCs w:val="20"/>
    </w:rPr>
  </w:style>
  <w:style w:type="paragraph" w:customStyle="1" w:styleId="53">
    <w:name w:val="Char2"/>
    <w:basedOn w:val="1"/>
    <w:autoRedefine/>
    <w:qFormat/>
    <w:uiPriority w:val="0"/>
    <w:pPr>
      <w:tabs>
        <w:tab w:val="left" w:pos="360"/>
      </w:tabs>
    </w:pPr>
    <w:rPr>
      <w:sz w:val="24"/>
      <w:szCs w:val="24"/>
    </w:rPr>
  </w:style>
  <w:style w:type="character" w:customStyle="1" w:styleId="54">
    <w:name w:val="NormalCharacter"/>
    <w:autoRedefine/>
    <w:semiHidden/>
    <w:qFormat/>
    <w:uiPriority w:val="0"/>
  </w:style>
  <w:style w:type="character" w:customStyle="1" w:styleId="55">
    <w:name w:val="列出段落 Char"/>
    <w:link w:val="37"/>
    <w:autoRedefine/>
    <w:qFormat/>
    <w:uiPriority w:val="34"/>
    <w:rPr>
      <w:rFonts w:ascii="Times New Roman" w:hAnsi="Times New Roman" w:eastAsia="宋体" w:cs="Times New Roman"/>
      <w:szCs w:val="20"/>
    </w:rPr>
  </w:style>
  <w:style w:type="character" w:customStyle="1" w:styleId="56">
    <w:name w:val="fielderror"/>
    <w:basedOn w:val="22"/>
    <w:qFormat/>
    <w:uiPriority w:val="0"/>
    <w:rPr>
      <w:color w:val="800000"/>
    </w:rPr>
  </w:style>
  <w:style w:type="character" w:customStyle="1" w:styleId="57">
    <w:name w:val="required"/>
    <w:basedOn w:val="22"/>
    <w:qFormat/>
    <w:uiPriority w:val="0"/>
    <w:rPr>
      <w:color w:val="FF0000"/>
    </w:rPr>
  </w:style>
  <w:style w:type="character" w:customStyle="1" w:styleId="58">
    <w:name w:val="tab2"/>
    <w:basedOn w:val="22"/>
    <w:qFormat/>
    <w:uiPriority w:val="0"/>
    <w:rPr>
      <w:color w:val="333366"/>
    </w:rPr>
  </w:style>
  <w:style w:type="character" w:customStyle="1" w:styleId="59">
    <w:name w:val="first-child"/>
    <w:basedOn w:val="22"/>
    <w:qFormat/>
    <w:uiPriority w:val="0"/>
  </w:style>
  <w:style w:type="character" w:customStyle="1" w:styleId="60">
    <w:name w:val="tab1"/>
    <w:basedOn w:val="22"/>
    <w:qFormat/>
    <w:uiPriority w:val="0"/>
  </w:style>
  <w:style w:type="character" w:customStyle="1" w:styleId="61">
    <w:name w:val="hilite6"/>
    <w:basedOn w:val="22"/>
    <w:qFormat/>
    <w:uiPriority w:val="0"/>
    <w:rPr>
      <w:color w:val="000000"/>
    </w:rPr>
  </w:style>
  <w:style w:type="character" w:customStyle="1" w:styleId="62">
    <w:name w:val="active7"/>
    <w:basedOn w:val="22"/>
    <w:qFormat/>
    <w:uiPriority w:val="0"/>
    <w:rPr>
      <w:color w:val="FFFFFF"/>
    </w:rPr>
  </w:style>
  <w:style w:type="character" w:customStyle="1" w:styleId="63">
    <w:name w:val="layui-this"/>
    <w:basedOn w:val="22"/>
    <w:qFormat/>
    <w:uiPriority w:val="0"/>
    <w:rPr>
      <w:bdr w:val="single" w:color="EEEEEE" w:sz="6" w:space="0"/>
      <w:shd w:val="clear" w:fill="FFFFFF"/>
    </w:rPr>
  </w:style>
  <w:style w:type="character" w:customStyle="1" w:styleId="64">
    <w:name w:val="active1"/>
    <w:basedOn w:val="22"/>
    <w:qFormat/>
    <w:uiPriority w:val="0"/>
    <w:rPr>
      <w:color w:val="FFFFFF"/>
    </w:rPr>
  </w:style>
  <w:style w:type="character" w:customStyle="1" w:styleId="65">
    <w:name w:val="active6"/>
    <w:basedOn w:val="22"/>
    <w:qFormat/>
    <w:uiPriority w:val="0"/>
    <w:rPr>
      <w:color w:val="FFFFFF"/>
    </w:rPr>
  </w:style>
  <w:style w:type="character" w:customStyle="1" w:styleId="66">
    <w:name w:val="hilite"/>
    <w:basedOn w:val="22"/>
    <w:qFormat/>
    <w:uiPriority w:val="0"/>
    <w:rPr>
      <w:color w:val="000000"/>
    </w:rPr>
  </w:style>
  <w:style w:type="character" w:customStyle="1" w:styleId="67">
    <w:name w:val="l-btn-icon-left"/>
    <w:basedOn w:val="22"/>
    <w:qFormat/>
    <w:uiPriority w:val="0"/>
  </w:style>
  <w:style w:type="character" w:customStyle="1" w:styleId="68">
    <w:name w:val="hour_am"/>
    <w:basedOn w:val="22"/>
    <w:qFormat/>
    <w:uiPriority w:val="0"/>
  </w:style>
  <w:style w:type="character" w:customStyle="1" w:styleId="69">
    <w:name w:val="old"/>
    <w:basedOn w:val="22"/>
    <w:qFormat/>
    <w:uiPriority w:val="0"/>
    <w:rPr>
      <w:color w:val="999999"/>
    </w:rPr>
  </w:style>
  <w:style w:type="character" w:customStyle="1" w:styleId="70">
    <w:name w:val="hover"/>
    <w:basedOn w:val="22"/>
    <w:qFormat/>
    <w:uiPriority w:val="0"/>
    <w:rPr>
      <w:shd w:val="clear" w:fill="EEEEEE"/>
    </w:rPr>
  </w:style>
  <w:style w:type="character" w:customStyle="1" w:styleId="71">
    <w:name w:val="action"/>
    <w:basedOn w:val="22"/>
    <w:qFormat/>
    <w:uiPriority w:val="0"/>
    <w:rPr>
      <w:b/>
      <w:bCs/>
      <w:sz w:val="16"/>
      <w:szCs w:val="16"/>
      <w:shd w:val="clear" w:fill="FFFFFF"/>
    </w:rPr>
  </w:style>
  <w:style w:type="character" w:customStyle="1" w:styleId="72">
    <w:name w:val="hour_pm"/>
    <w:basedOn w:val="22"/>
    <w:qFormat/>
    <w:uiPriority w:val="0"/>
  </w:style>
  <w:style w:type="character" w:customStyle="1" w:styleId="73">
    <w:name w:val="filename"/>
    <w:basedOn w:val="22"/>
    <w:qFormat/>
    <w:uiPriority w:val="0"/>
    <w:rPr>
      <w:color w:val="777777"/>
      <w:sz w:val="16"/>
      <w:szCs w:val="16"/>
    </w:rPr>
  </w:style>
  <w:style w:type="character" w:customStyle="1" w:styleId="74">
    <w:name w:val="l-btn-empty"/>
    <w:basedOn w:val="22"/>
    <w:qFormat/>
    <w:uiPriority w:val="0"/>
  </w:style>
  <w:style w:type="character" w:customStyle="1" w:styleId="75">
    <w:name w:val="l-btn-text"/>
    <w:basedOn w:val="22"/>
    <w:qFormat/>
    <w:uiPriority w:val="0"/>
    <w:rPr>
      <w:sz w:val="18"/>
      <w:szCs w:val="18"/>
    </w:rPr>
  </w:style>
  <w:style w:type="character" w:customStyle="1" w:styleId="76">
    <w:name w:val="l-btn-text1"/>
    <w:basedOn w:val="22"/>
    <w:qFormat/>
    <w:uiPriority w:val="0"/>
  </w:style>
  <w:style w:type="character" w:customStyle="1" w:styleId="77">
    <w:name w:val="checked"/>
    <w:basedOn w:val="22"/>
    <w:qFormat/>
    <w:uiPriority w:val="0"/>
  </w:style>
  <w:style w:type="character" w:customStyle="1" w:styleId="78">
    <w:name w:val="checked1"/>
    <w:basedOn w:val="22"/>
    <w:qFormat/>
    <w:uiPriority w:val="0"/>
  </w:style>
  <w:style w:type="character" w:customStyle="1" w:styleId="79">
    <w:name w:val="l-btn-left"/>
    <w:basedOn w:val="22"/>
    <w:qFormat/>
    <w:uiPriority w:val="0"/>
  </w:style>
  <w:style w:type="character" w:customStyle="1" w:styleId="80">
    <w:name w:val="l-btn-left1"/>
    <w:basedOn w:val="22"/>
    <w:qFormat/>
    <w:uiPriority w:val="0"/>
  </w:style>
  <w:style w:type="character" w:customStyle="1" w:styleId="81">
    <w:name w:val="l-btn-left2"/>
    <w:basedOn w:val="22"/>
    <w:qFormat/>
    <w:uiPriority w:val="0"/>
  </w:style>
  <w:style w:type="character" w:customStyle="1" w:styleId="82">
    <w:name w:val="l-btn-icon-right"/>
    <w:basedOn w:val="22"/>
    <w:qFormat/>
    <w:uiPriority w:val="0"/>
  </w:style>
  <w:style w:type="paragraph" w:customStyle="1" w:styleId="83">
    <w:name w:val="_Style 82"/>
    <w:basedOn w:val="1"/>
    <w:next w:val="1"/>
    <w:qFormat/>
    <w:uiPriority w:val="0"/>
    <w:pPr>
      <w:pBdr>
        <w:bottom w:val="single" w:color="auto" w:sz="6" w:space="1"/>
      </w:pBdr>
      <w:jc w:val="center"/>
    </w:pPr>
    <w:rPr>
      <w:rFonts w:ascii="Arial" w:eastAsia="宋体"/>
      <w:vanish/>
      <w:sz w:val="16"/>
    </w:rPr>
  </w:style>
  <w:style w:type="paragraph" w:customStyle="1" w:styleId="84">
    <w:name w:val="_Style 83"/>
    <w:basedOn w:val="1"/>
    <w:next w:val="1"/>
    <w:qFormat/>
    <w:uiPriority w:val="0"/>
    <w:pPr>
      <w:pBdr>
        <w:top w:val="single" w:color="auto" w:sz="6" w:space="1"/>
      </w:pBdr>
      <w:jc w:val="center"/>
    </w:pPr>
    <w:rPr>
      <w:rFonts w:ascii="Arial" w:eastAsia="宋体"/>
      <w:vanish/>
      <w:sz w:val="16"/>
    </w:rPr>
  </w:style>
  <w:style w:type="character" w:customStyle="1" w:styleId="85">
    <w:name w:val="control-label9"/>
    <w:basedOn w:val="22"/>
    <w:qFormat/>
    <w:uiPriority w:val="0"/>
  </w:style>
  <w:style w:type="character" w:customStyle="1" w:styleId="86">
    <w:name w:val="hover3"/>
    <w:basedOn w:val="22"/>
    <w:qFormat/>
    <w:uiPriority w:val="0"/>
    <w:rPr>
      <w:shd w:val="clear" w:fill="EEEEEE"/>
    </w:rPr>
  </w:style>
  <w:style w:type="character" w:customStyle="1" w:styleId="87">
    <w:name w:val="control-label5"/>
    <w:basedOn w:val="22"/>
    <w:qFormat/>
    <w:uiPriority w:val="0"/>
  </w:style>
  <w:style w:type="character" w:customStyle="1" w:styleId="88">
    <w:name w:val="font11"/>
    <w:basedOn w:val="22"/>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8EFD70-A062-42D3-8AA3-B80B5800FB8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74</Pages>
  <Words>32203</Words>
  <Characters>34382</Characters>
  <Lines>244</Lines>
  <Paragraphs>68</Paragraphs>
  <TotalTime>13</TotalTime>
  <ScaleCrop>false</ScaleCrop>
  <LinksUpToDate>false</LinksUpToDate>
  <CharactersWithSpaces>34797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2017-08-03T11:19:00Z</dcterms:created>
  <dc:creator>未定义</dc:creator>
  <cp:lastModifiedBy>未定义</cp:lastModifiedBy>
  <dcterms:modified xsi:type="dcterms:W3CDTF">2024-08-29T03:07:48Z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1C2EBF9562D24631ACA8F6F428146192_13</vt:lpwstr>
  </property>
</Properties>
</file>